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4D650" w14:textId="0A08CB2B" w:rsidR="00E203C2" w:rsidRDefault="00E203C2" w:rsidP="00E203C2">
      <w:r>
        <w:rPr>
          <w:noProof/>
          <w:lang w:eastAsia="en-GB" w:bidi="ar-SA"/>
        </w:rPr>
        <w:drawing>
          <wp:inline distT="0" distB="0" distL="0" distR="0" wp14:anchorId="318A1757" wp14:editId="0E66EE24">
            <wp:extent cx="3488400" cy="612000"/>
            <wp:effectExtent l="0" t="0" r="0" b="0"/>
            <wp:docPr id="3" name="Picture 3" descr="Food Standards Australia New Zealand logo" title="FSA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6B20F88" w14:textId="77777777" w:rsidR="009807C5" w:rsidRDefault="009807C5" w:rsidP="009807C5">
      <w:pPr>
        <w:rPr>
          <w:b/>
          <w:color w:val="FF0000"/>
          <w:sz w:val="28"/>
          <w:szCs w:val="28"/>
        </w:rPr>
      </w:pPr>
    </w:p>
    <w:p w14:paraId="10AE74F6" w14:textId="319ECA70" w:rsidR="009807C5" w:rsidRPr="00442394" w:rsidRDefault="00442394" w:rsidP="009807C5">
      <w:pPr>
        <w:rPr>
          <w:b/>
          <w:sz w:val="28"/>
          <w:szCs w:val="28"/>
        </w:rPr>
      </w:pPr>
      <w:r w:rsidRPr="00442394">
        <w:rPr>
          <w:b/>
          <w:sz w:val="28"/>
          <w:szCs w:val="28"/>
        </w:rPr>
        <w:t>2</w:t>
      </w:r>
      <w:r w:rsidR="00360A38">
        <w:rPr>
          <w:b/>
          <w:sz w:val="28"/>
          <w:szCs w:val="28"/>
        </w:rPr>
        <w:t>5</w:t>
      </w:r>
      <w:bookmarkStart w:id="0" w:name="_GoBack"/>
      <w:bookmarkEnd w:id="0"/>
      <w:r w:rsidR="009807C5" w:rsidRPr="00442394">
        <w:rPr>
          <w:b/>
          <w:sz w:val="28"/>
          <w:szCs w:val="28"/>
        </w:rPr>
        <w:t xml:space="preserve"> </w:t>
      </w:r>
      <w:r w:rsidRPr="00442394">
        <w:rPr>
          <w:b/>
          <w:sz w:val="28"/>
          <w:szCs w:val="28"/>
        </w:rPr>
        <w:t>September</w:t>
      </w:r>
      <w:r w:rsidR="009807C5" w:rsidRPr="00442394">
        <w:rPr>
          <w:b/>
          <w:sz w:val="28"/>
          <w:szCs w:val="28"/>
        </w:rPr>
        <w:t xml:space="preserve"> 20</w:t>
      </w:r>
      <w:r w:rsidRPr="00442394">
        <w:rPr>
          <w:b/>
          <w:sz w:val="28"/>
          <w:szCs w:val="28"/>
        </w:rPr>
        <w:t>20</w:t>
      </w:r>
    </w:p>
    <w:p w14:paraId="0FC9A962" w14:textId="5653DB26" w:rsidR="009807C5" w:rsidRPr="00442394" w:rsidRDefault="009807C5" w:rsidP="009807C5">
      <w:pPr>
        <w:rPr>
          <w:b/>
          <w:sz w:val="28"/>
          <w:szCs w:val="28"/>
        </w:rPr>
      </w:pPr>
      <w:r w:rsidRPr="00442394">
        <w:rPr>
          <w:b/>
          <w:sz w:val="28"/>
          <w:szCs w:val="28"/>
        </w:rPr>
        <w:t>[</w:t>
      </w:r>
      <w:r w:rsidR="00442394" w:rsidRPr="00442394">
        <w:rPr>
          <w:b/>
          <w:sz w:val="28"/>
          <w:szCs w:val="28"/>
        </w:rPr>
        <w:t>135</w:t>
      </w:r>
      <w:r w:rsidRPr="00442394">
        <w:rPr>
          <w:b/>
          <w:sz w:val="28"/>
          <w:szCs w:val="28"/>
        </w:rPr>
        <w:t>–</w:t>
      </w:r>
      <w:r w:rsidR="00442394" w:rsidRPr="00442394">
        <w:rPr>
          <w:b/>
          <w:sz w:val="28"/>
          <w:szCs w:val="28"/>
        </w:rPr>
        <w:t>20</w:t>
      </w:r>
      <w:r w:rsidRPr="00442394">
        <w:rPr>
          <w:b/>
          <w:sz w:val="28"/>
          <w:szCs w:val="28"/>
        </w:rPr>
        <w:t>]</w:t>
      </w:r>
    </w:p>
    <w:p w14:paraId="6BEBF494" w14:textId="77777777" w:rsidR="009807C5" w:rsidRPr="00A671E6" w:rsidRDefault="009807C5" w:rsidP="009807C5">
      <w:pPr>
        <w:rPr>
          <w:b/>
          <w:color w:val="FF0000"/>
          <w:sz w:val="28"/>
          <w:szCs w:val="28"/>
        </w:rPr>
      </w:pPr>
    </w:p>
    <w:p w14:paraId="67CA3C32" w14:textId="007D483D" w:rsidR="00D056F1" w:rsidRPr="00A55DA7" w:rsidRDefault="009807C5" w:rsidP="00ED0797">
      <w:pPr>
        <w:pStyle w:val="FSTitle"/>
        <w:spacing w:after="240"/>
        <w:rPr>
          <w:b/>
        </w:rPr>
      </w:pPr>
      <w:r>
        <w:rPr>
          <w:b/>
        </w:rPr>
        <w:t>Approval report</w:t>
      </w:r>
      <w:r w:rsidR="000427B2" w:rsidRPr="00351927">
        <w:rPr>
          <w:b/>
        </w:rPr>
        <w:t xml:space="preserve"> – </w:t>
      </w:r>
      <w:r w:rsidR="00D056F1" w:rsidRPr="009B7CCB">
        <w:rPr>
          <w:b/>
        </w:rPr>
        <w:t>A</w:t>
      </w:r>
      <w:r w:rsidR="00A91DF1" w:rsidRPr="009B7CCB">
        <w:rPr>
          <w:b/>
        </w:rPr>
        <w:t>pplication</w:t>
      </w:r>
      <w:r w:rsidR="009B7CCB" w:rsidRPr="009B7CCB">
        <w:rPr>
          <w:b/>
        </w:rPr>
        <w:t xml:space="preserve"> A1199</w:t>
      </w:r>
    </w:p>
    <w:p w14:paraId="0AC35BEE" w14:textId="76351EFB" w:rsidR="00D056F1" w:rsidRPr="009C7A11" w:rsidRDefault="009B7CCB" w:rsidP="00A55DA7">
      <w:pPr>
        <w:pStyle w:val="FSTitle"/>
      </w:pPr>
      <w:bookmarkStart w:id="1" w:name="_Toc43365712"/>
      <w:r w:rsidRPr="00ED0797">
        <w:t>Food derived from Innate potato lines V11 &amp; Z6</w:t>
      </w:r>
      <w:bookmarkEnd w:id="1"/>
    </w:p>
    <w:p w14:paraId="03AA6DFD" w14:textId="77777777" w:rsidR="00E203C2" w:rsidRPr="00E81F6E" w:rsidRDefault="00E203C2" w:rsidP="003F5D41">
      <w:pPr>
        <w:pBdr>
          <w:bottom w:val="single" w:sz="12" w:space="1" w:color="auto"/>
        </w:pBdr>
        <w:rPr>
          <w:rFonts w:cs="Arial"/>
          <w:bCs/>
        </w:rPr>
      </w:pPr>
    </w:p>
    <w:p w14:paraId="6938310E" w14:textId="77777777" w:rsidR="001E2FCD" w:rsidRDefault="001E2FCD" w:rsidP="001E2FCD">
      <w:pPr>
        <w:rPr>
          <w:szCs w:val="20"/>
        </w:rPr>
      </w:pPr>
    </w:p>
    <w:p w14:paraId="7652E71E" w14:textId="3050C858" w:rsidR="00413CA8" w:rsidRPr="001E2FCD" w:rsidRDefault="009807C5" w:rsidP="001E2FCD">
      <w:pPr>
        <w:rPr>
          <w:szCs w:val="20"/>
        </w:rPr>
      </w:pPr>
      <w:r w:rsidRPr="001E2FCD">
        <w:rPr>
          <w:szCs w:val="20"/>
        </w:rPr>
        <w:t xml:space="preserve">Food Standards Australia New Zealand (FSANZ) </w:t>
      </w:r>
      <w:r w:rsidR="00D13221" w:rsidRPr="001E2FCD">
        <w:rPr>
          <w:szCs w:val="20"/>
        </w:rPr>
        <w:t xml:space="preserve">has assessed an </w:t>
      </w:r>
      <w:r w:rsidR="00212583" w:rsidRPr="001E2FCD">
        <w:rPr>
          <w:szCs w:val="20"/>
        </w:rPr>
        <w:t>a</w:t>
      </w:r>
      <w:r w:rsidR="00D13221" w:rsidRPr="001E2FCD">
        <w:rPr>
          <w:szCs w:val="20"/>
        </w:rPr>
        <w:t xml:space="preserve">pplication made by SPS International Inc. seeking </w:t>
      </w:r>
      <w:r w:rsidR="0047032B">
        <w:rPr>
          <w:szCs w:val="20"/>
        </w:rPr>
        <w:t>to permit</w:t>
      </w:r>
      <w:r w:rsidR="00174914">
        <w:rPr>
          <w:szCs w:val="20"/>
        </w:rPr>
        <w:t xml:space="preserve"> the sale and use of</w:t>
      </w:r>
      <w:r w:rsidR="00D13221" w:rsidRPr="001E2FCD">
        <w:rPr>
          <w:szCs w:val="20"/>
        </w:rPr>
        <w:t xml:space="preserve"> food derived from genetically modified (GM) potato line Z6, which has disease resistance, </w:t>
      </w:r>
      <w:r w:rsidR="00A20946" w:rsidRPr="001E2FCD">
        <w:rPr>
          <w:szCs w:val="20"/>
        </w:rPr>
        <w:t xml:space="preserve">reduced </w:t>
      </w:r>
      <w:r w:rsidR="00D13221" w:rsidRPr="001E2FCD">
        <w:rPr>
          <w:szCs w:val="20"/>
        </w:rPr>
        <w:t>acrylamide potential and reduced browning</w:t>
      </w:r>
      <w:r w:rsidR="00A20946" w:rsidRPr="001E2FCD">
        <w:rPr>
          <w:szCs w:val="20"/>
        </w:rPr>
        <w:t>,</w:t>
      </w:r>
      <w:r w:rsidR="00D13221" w:rsidRPr="001E2FCD">
        <w:rPr>
          <w:szCs w:val="20"/>
        </w:rPr>
        <w:t xml:space="preserve"> and from GM </w:t>
      </w:r>
      <w:r w:rsidR="006D2F76">
        <w:rPr>
          <w:szCs w:val="20"/>
        </w:rPr>
        <w:t xml:space="preserve">potato </w:t>
      </w:r>
      <w:r w:rsidR="00D13221" w:rsidRPr="001E2FCD">
        <w:rPr>
          <w:szCs w:val="20"/>
        </w:rPr>
        <w:t xml:space="preserve">line V11, with reduced acrylamide potential and reduced browning only. </w:t>
      </w:r>
    </w:p>
    <w:p w14:paraId="5D6DC2A1" w14:textId="77777777" w:rsidR="001E2FCD" w:rsidRDefault="001E2FCD" w:rsidP="007D3347">
      <w:pPr>
        <w:rPr>
          <w:szCs w:val="20"/>
        </w:rPr>
      </w:pPr>
    </w:p>
    <w:p w14:paraId="0852FEE8" w14:textId="69391785" w:rsidR="007D3347" w:rsidRPr="003C01E7" w:rsidRDefault="007D3347" w:rsidP="007D3347">
      <w:pPr>
        <w:rPr>
          <w:szCs w:val="20"/>
        </w:rPr>
      </w:pPr>
      <w:r w:rsidRPr="003C01E7">
        <w:rPr>
          <w:szCs w:val="20"/>
        </w:rPr>
        <w:t xml:space="preserve">On </w:t>
      </w:r>
      <w:r w:rsidRPr="007D3347">
        <w:rPr>
          <w:szCs w:val="20"/>
        </w:rPr>
        <w:t xml:space="preserve">22 May 2020, FSANZ </w:t>
      </w:r>
      <w:r w:rsidRPr="003C01E7">
        <w:rPr>
          <w:szCs w:val="20"/>
        </w:rPr>
        <w:t>sought submissions on a draft variation to Schedule 26 and published an associated report. FSANZ received</w:t>
      </w:r>
      <w:r w:rsidRPr="00857539">
        <w:rPr>
          <w:szCs w:val="20"/>
        </w:rPr>
        <w:t xml:space="preserve"> </w:t>
      </w:r>
      <w:r w:rsidR="008E5AAD">
        <w:rPr>
          <w:szCs w:val="20"/>
        </w:rPr>
        <w:t>eight</w:t>
      </w:r>
      <w:r w:rsidRPr="008268E9">
        <w:rPr>
          <w:szCs w:val="20"/>
        </w:rPr>
        <w:t xml:space="preserve"> </w:t>
      </w:r>
      <w:hyperlink r:id="rId10" w:history="1">
        <w:r w:rsidRPr="00A55DA7">
          <w:rPr>
            <w:rStyle w:val="Hyperlink"/>
            <w:szCs w:val="20"/>
          </w:rPr>
          <w:t>submissions</w:t>
        </w:r>
      </w:hyperlink>
      <w:r w:rsidR="008268E9">
        <w:rPr>
          <w:szCs w:val="20"/>
        </w:rPr>
        <w:t xml:space="preserve"> and one </w:t>
      </w:r>
      <w:r w:rsidR="008268E9" w:rsidRPr="008268E9">
        <w:rPr>
          <w:i/>
          <w:szCs w:val="20"/>
        </w:rPr>
        <w:t>Late Comment</w:t>
      </w:r>
      <w:r w:rsidRPr="003C01E7">
        <w:rPr>
          <w:szCs w:val="20"/>
        </w:rPr>
        <w:t xml:space="preserve">. </w:t>
      </w:r>
    </w:p>
    <w:p w14:paraId="7309D1D6" w14:textId="77777777" w:rsidR="007D3347" w:rsidRDefault="007D3347" w:rsidP="007D3347">
      <w:pPr>
        <w:rPr>
          <w:sz w:val="20"/>
          <w:szCs w:val="20"/>
        </w:rPr>
      </w:pPr>
    </w:p>
    <w:p w14:paraId="5AC3EA7D" w14:textId="03D266D9" w:rsidR="007D3347" w:rsidRPr="00442394" w:rsidRDefault="007D3347" w:rsidP="007D3347">
      <w:r w:rsidRPr="00442394">
        <w:t xml:space="preserve">FSANZ approved the draft variation on </w:t>
      </w:r>
      <w:r w:rsidR="00442394" w:rsidRPr="00442394">
        <w:t>16 September 2020</w:t>
      </w:r>
      <w:r w:rsidRPr="00442394">
        <w:t xml:space="preserve">. The </w:t>
      </w:r>
      <w:r w:rsidRPr="00442394">
        <w:rPr>
          <w:rFonts w:cs="Helvetica"/>
          <w:lang w:val="en-AU"/>
        </w:rPr>
        <w:t xml:space="preserve">Australia and New Zealand Ministerial Forum on Food </w:t>
      </w:r>
      <w:r w:rsidRPr="00442394">
        <w:rPr>
          <w:rFonts w:cs="Arial"/>
        </w:rPr>
        <w:t>Regulation</w:t>
      </w:r>
      <w:r w:rsidRPr="00442394">
        <w:t xml:space="preserve"> was notified of FSANZ’s decision on </w:t>
      </w:r>
      <w:r w:rsidR="00442394" w:rsidRPr="00442394">
        <w:t>24 September 2020</w:t>
      </w:r>
      <w:r w:rsidRPr="00442394">
        <w:t>.</w:t>
      </w:r>
    </w:p>
    <w:p w14:paraId="29079F0B" w14:textId="77777777" w:rsidR="007D3347" w:rsidRDefault="007D3347" w:rsidP="007D3347"/>
    <w:p w14:paraId="246D3679" w14:textId="77777777" w:rsidR="007D3347" w:rsidRDefault="007D3347" w:rsidP="007D3347">
      <w:r>
        <w:t xml:space="preserve">This Report is provided pursuant to </w:t>
      </w:r>
      <w:r w:rsidRPr="00210130">
        <w:t xml:space="preserve">paragraph 33(1)(b) of </w:t>
      </w:r>
      <w:r>
        <w:t xml:space="preserve">the </w:t>
      </w:r>
      <w:r w:rsidRPr="0012388D">
        <w:rPr>
          <w:i/>
        </w:rPr>
        <w:t>Food Standards Australia New Zealand Act 1991</w:t>
      </w:r>
      <w:r>
        <w:t xml:space="preserve"> (the FSANZ Act).</w:t>
      </w:r>
    </w:p>
    <w:p w14:paraId="6579714B" w14:textId="77777777" w:rsidR="00D22F3C" w:rsidRPr="007C174F" w:rsidRDefault="00D22F3C" w:rsidP="00203540">
      <w:pPr>
        <w:tabs>
          <w:tab w:val="left" w:pos="4536"/>
        </w:tabs>
        <w:rPr>
          <w:rFonts w:cs="Arial"/>
          <w:bCs/>
          <w:color w:val="FF0000"/>
          <w:sz w:val="20"/>
          <w:szCs w:val="20"/>
        </w:rPr>
      </w:pPr>
    </w:p>
    <w:p w14:paraId="7EFC3B29" w14:textId="77777777" w:rsidR="00413CA8" w:rsidRDefault="00413CA8" w:rsidP="00E203C2">
      <w:pPr>
        <w:spacing w:line="280" w:lineRule="exact"/>
        <w:jc w:val="center"/>
        <w:rPr>
          <w:rFonts w:cs="Arial"/>
          <w:bCs/>
          <w:sz w:val="28"/>
          <w:szCs w:val="28"/>
        </w:rPr>
        <w:sectPr w:rsidR="00413CA8" w:rsidSect="003F5D41">
          <w:pgSz w:w="11906" w:h="16838"/>
          <w:pgMar w:top="993" w:right="1418" w:bottom="1134" w:left="1418" w:header="284" w:footer="709" w:gutter="0"/>
          <w:pgNumType w:fmt="lowerRoman" w:start="1"/>
          <w:cols w:space="708"/>
          <w:docGrid w:linePitch="360"/>
        </w:sectPr>
      </w:pPr>
    </w:p>
    <w:p w14:paraId="2D7689D5" w14:textId="0EE31160" w:rsidR="00562917"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381E436D" w14:textId="77777777" w:rsidR="00F1705F" w:rsidRPr="00646FDD" w:rsidRDefault="00F1705F" w:rsidP="00E40ED4">
      <w:pPr>
        <w:jc w:val="center"/>
        <w:rPr>
          <w:sz w:val="28"/>
          <w:szCs w:val="28"/>
        </w:rPr>
      </w:pPr>
    </w:p>
    <w:p w14:paraId="21B29265" w14:textId="30396478" w:rsidR="00A55DA7"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smallCaps/>
        </w:rPr>
        <w:fldChar w:fldCharType="begin"/>
      </w:r>
      <w:r w:rsidRPr="002C4A91">
        <w:rPr>
          <w:rFonts w:ascii="Arial" w:hAnsi="Arial" w:cs="Arial"/>
        </w:rPr>
        <w:instrText xml:space="preserve"> TOC \o "1-3" \h \z \u </w:instrText>
      </w:r>
      <w:r w:rsidRPr="002C4A91">
        <w:rPr>
          <w:rFonts w:ascii="Arial" w:hAnsi="Arial" w:cs="Arial"/>
          <w:smallCaps/>
        </w:rPr>
        <w:fldChar w:fldCharType="separate"/>
      </w:r>
      <w:hyperlink w:anchor="_Toc49174684" w:history="1">
        <w:r w:rsidR="00A55DA7" w:rsidRPr="00842EA0">
          <w:rPr>
            <w:rStyle w:val="Hyperlink"/>
            <w:noProof/>
          </w:rPr>
          <w:t>Executive summary</w:t>
        </w:r>
        <w:r w:rsidR="00A55DA7">
          <w:rPr>
            <w:noProof/>
            <w:webHidden/>
          </w:rPr>
          <w:tab/>
        </w:r>
        <w:r w:rsidR="00A55DA7">
          <w:rPr>
            <w:noProof/>
            <w:webHidden/>
          </w:rPr>
          <w:fldChar w:fldCharType="begin"/>
        </w:r>
        <w:r w:rsidR="00A55DA7">
          <w:rPr>
            <w:noProof/>
            <w:webHidden/>
          </w:rPr>
          <w:instrText xml:space="preserve"> PAGEREF _Toc49174684 \h </w:instrText>
        </w:r>
        <w:r w:rsidR="00A55DA7">
          <w:rPr>
            <w:noProof/>
            <w:webHidden/>
          </w:rPr>
        </w:r>
        <w:r w:rsidR="00A55DA7">
          <w:rPr>
            <w:noProof/>
            <w:webHidden/>
          </w:rPr>
          <w:fldChar w:fldCharType="separate"/>
        </w:r>
        <w:r w:rsidR="00D13DF3">
          <w:rPr>
            <w:noProof/>
            <w:webHidden/>
          </w:rPr>
          <w:t>3</w:t>
        </w:r>
        <w:r w:rsidR="00A55DA7">
          <w:rPr>
            <w:noProof/>
            <w:webHidden/>
          </w:rPr>
          <w:fldChar w:fldCharType="end"/>
        </w:r>
      </w:hyperlink>
    </w:p>
    <w:p w14:paraId="5AA6F8AB" w14:textId="1B6D952D" w:rsidR="00A55DA7" w:rsidRDefault="00B52417">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174685" w:history="1">
        <w:r w:rsidR="00A55DA7" w:rsidRPr="00842EA0">
          <w:rPr>
            <w:rStyle w:val="Hyperlink"/>
            <w:noProof/>
          </w:rPr>
          <w:t>1</w:t>
        </w:r>
        <w:r w:rsidR="00A55DA7">
          <w:rPr>
            <w:rFonts w:eastAsiaTheme="minorEastAsia" w:cstheme="minorBidi"/>
            <w:b w:val="0"/>
            <w:bCs w:val="0"/>
            <w:caps w:val="0"/>
            <w:noProof/>
            <w:sz w:val="22"/>
            <w:szCs w:val="22"/>
            <w:lang w:eastAsia="en-GB" w:bidi="ar-SA"/>
          </w:rPr>
          <w:tab/>
        </w:r>
        <w:r w:rsidR="00A55DA7" w:rsidRPr="00842EA0">
          <w:rPr>
            <w:rStyle w:val="Hyperlink"/>
            <w:noProof/>
          </w:rPr>
          <w:t>Introduction</w:t>
        </w:r>
        <w:r w:rsidR="00A55DA7">
          <w:rPr>
            <w:noProof/>
            <w:webHidden/>
          </w:rPr>
          <w:tab/>
        </w:r>
        <w:r w:rsidR="00A55DA7">
          <w:rPr>
            <w:noProof/>
            <w:webHidden/>
          </w:rPr>
          <w:fldChar w:fldCharType="begin"/>
        </w:r>
        <w:r w:rsidR="00A55DA7">
          <w:rPr>
            <w:noProof/>
            <w:webHidden/>
          </w:rPr>
          <w:instrText xml:space="preserve"> PAGEREF _Toc49174685 \h </w:instrText>
        </w:r>
        <w:r w:rsidR="00A55DA7">
          <w:rPr>
            <w:noProof/>
            <w:webHidden/>
          </w:rPr>
        </w:r>
        <w:r w:rsidR="00A55DA7">
          <w:rPr>
            <w:noProof/>
            <w:webHidden/>
          </w:rPr>
          <w:fldChar w:fldCharType="separate"/>
        </w:r>
        <w:r w:rsidR="00D13DF3">
          <w:rPr>
            <w:noProof/>
            <w:webHidden/>
          </w:rPr>
          <w:t>4</w:t>
        </w:r>
        <w:r w:rsidR="00A55DA7">
          <w:rPr>
            <w:noProof/>
            <w:webHidden/>
          </w:rPr>
          <w:fldChar w:fldCharType="end"/>
        </w:r>
      </w:hyperlink>
    </w:p>
    <w:p w14:paraId="529E9901" w14:textId="72DECE5A" w:rsidR="00A55DA7" w:rsidRDefault="00B52417">
      <w:pPr>
        <w:pStyle w:val="TOC2"/>
        <w:tabs>
          <w:tab w:val="left" w:pos="880"/>
          <w:tab w:val="right" w:leader="dot" w:pos="9060"/>
        </w:tabs>
        <w:rPr>
          <w:rFonts w:eastAsiaTheme="minorEastAsia" w:cstheme="minorBidi"/>
          <w:smallCaps w:val="0"/>
          <w:noProof/>
          <w:sz w:val="22"/>
          <w:szCs w:val="22"/>
          <w:lang w:eastAsia="en-GB" w:bidi="ar-SA"/>
        </w:rPr>
      </w:pPr>
      <w:hyperlink w:anchor="_Toc49174686" w:history="1">
        <w:r w:rsidR="00A55DA7" w:rsidRPr="00842EA0">
          <w:rPr>
            <w:rStyle w:val="Hyperlink"/>
            <w:noProof/>
          </w:rPr>
          <w:t>1.1</w:t>
        </w:r>
        <w:r w:rsidR="00A55DA7">
          <w:rPr>
            <w:rFonts w:eastAsiaTheme="minorEastAsia" w:cstheme="minorBidi"/>
            <w:smallCaps w:val="0"/>
            <w:noProof/>
            <w:sz w:val="22"/>
            <w:szCs w:val="22"/>
            <w:lang w:eastAsia="en-GB" w:bidi="ar-SA"/>
          </w:rPr>
          <w:tab/>
        </w:r>
        <w:r w:rsidR="00A55DA7" w:rsidRPr="00842EA0">
          <w:rPr>
            <w:rStyle w:val="Hyperlink"/>
            <w:noProof/>
          </w:rPr>
          <w:t>The applicant</w:t>
        </w:r>
        <w:r w:rsidR="00A55DA7">
          <w:rPr>
            <w:noProof/>
            <w:webHidden/>
          </w:rPr>
          <w:tab/>
        </w:r>
        <w:r w:rsidR="00A55DA7">
          <w:rPr>
            <w:noProof/>
            <w:webHidden/>
          </w:rPr>
          <w:fldChar w:fldCharType="begin"/>
        </w:r>
        <w:r w:rsidR="00A55DA7">
          <w:rPr>
            <w:noProof/>
            <w:webHidden/>
          </w:rPr>
          <w:instrText xml:space="preserve"> PAGEREF _Toc49174686 \h </w:instrText>
        </w:r>
        <w:r w:rsidR="00A55DA7">
          <w:rPr>
            <w:noProof/>
            <w:webHidden/>
          </w:rPr>
        </w:r>
        <w:r w:rsidR="00A55DA7">
          <w:rPr>
            <w:noProof/>
            <w:webHidden/>
          </w:rPr>
          <w:fldChar w:fldCharType="separate"/>
        </w:r>
        <w:r w:rsidR="00D13DF3">
          <w:rPr>
            <w:noProof/>
            <w:webHidden/>
          </w:rPr>
          <w:t>4</w:t>
        </w:r>
        <w:r w:rsidR="00A55DA7">
          <w:rPr>
            <w:noProof/>
            <w:webHidden/>
          </w:rPr>
          <w:fldChar w:fldCharType="end"/>
        </w:r>
      </w:hyperlink>
    </w:p>
    <w:p w14:paraId="29608FE2" w14:textId="402876BD" w:rsidR="00A55DA7" w:rsidRDefault="00B52417">
      <w:pPr>
        <w:pStyle w:val="TOC2"/>
        <w:tabs>
          <w:tab w:val="left" w:pos="880"/>
          <w:tab w:val="right" w:leader="dot" w:pos="9060"/>
        </w:tabs>
        <w:rPr>
          <w:rFonts w:eastAsiaTheme="minorEastAsia" w:cstheme="minorBidi"/>
          <w:smallCaps w:val="0"/>
          <w:noProof/>
          <w:sz w:val="22"/>
          <w:szCs w:val="22"/>
          <w:lang w:eastAsia="en-GB" w:bidi="ar-SA"/>
        </w:rPr>
      </w:pPr>
      <w:hyperlink w:anchor="_Toc49174687" w:history="1">
        <w:r w:rsidR="00A55DA7" w:rsidRPr="00842EA0">
          <w:rPr>
            <w:rStyle w:val="Hyperlink"/>
            <w:noProof/>
          </w:rPr>
          <w:t>1.2</w:t>
        </w:r>
        <w:r w:rsidR="00A55DA7">
          <w:rPr>
            <w:rFonts w:eastAsiaTheme="minorEastAsia" w:cstheme="minorBidi"/>
            <w:smallCaps w:val="0"/>
            <w:noProof/>
            <w:sz w:val="22"/>
            <w:szCs w:val="22"/>
            <w:lang w:eastAsia="en-GB" w:bidi="ar-SA"/>
          </w:rPr>
          <w:tab/>
        </w:r>
        <w:r w:rsidR="00A55DA7" w:rsidRPr="00842EA0">
          <w:rPr>
            <w:rStyle w:val="Hyperlink"/>
            <w:noProof/>
          </w:rPr>
          <w:t>The application</w:t>
        </w:r>
        <w:r w:rsidR="00A55DA7">
          <w:rPr>
            <w:noProof/>
            <w:webHidden/>
          </w:rPr>
          <w:tab/>
        </w:r>
        <w:r w:rsidR="00A55DA7">
          <w:rPr>
            <w:noProof/>
            <w:webHidden/>
          </w:rPr>
          <w:fldChar w:fldCharType="begin"/>
        </w:r>
        <w:r w:rsidR="00A55DA7">
          <w:rPr>
            <w:noProof/>
            <w:webHidden/>
          </w:rPr>
          <w:instrText xml:space="preserve"> PAGEREF _Toc49174687 \h </w:instrText>
        </w:r>
        <w:r w:rsidR="00A55DA7">
          <w:rPr>
            <w:noProof/>
            <w:webHidden/>
          </w:rPr>
        </w:r>
        <w:r w:rsidR="00A55DA7">
          <w:rPr>
            <w:noProof/>
            <w:webHidden/>
          </w:rPr>
          <w:fldChar w:fldCharType="separate"/>
        </w:r>
        <w:r w:rsidR="00D13DF3">
          <w:rPr>
            <w:noProof/>
            <w:webHidden/>
          </w:rPr>
          <w:t>4</w:t>
        </w:r>
        <w:r w:rsidR="00A55DA7">
          <w:rPr>
            <w:noProof/>
            <w:webHidden/>
          </w:rPr>
          <w:fldChar w:fldCharType="end"/>
        </w:r>
      </w:hyperlink>
    </w:p>
    <w:p w14:paraId="787CA6BE" w14:textId="5C381C6C" w:rsidR="00A55DA7" w:rsidRDefault="00B52417">
      <w:pPr>
        <w:pStyle w:val="TOC2"/>
        <w:tabs>
          <w:tab w:val="left" w:pos="880"/>
          <w:tab w:val="right" w:leader="dot" w:pos="9060"/>
        </w:tabs>
        <w:rPr>
          <w:rFonts w:eastAsiaTheme="minorEastAsia" w:cstheme="minorBidi"/>
          <w:smallCaps w:val="0"/>
          <w:noProof/>
          <w:sz w:val="22"/>
          <w:szCs w:val="22"/>
          <w:lang w:eastAsia="en-GB" w:bidi="ar-SA"/>
        </w:rPr>
      </w:pPr>
      <w:hyperlink w:anchor="_Toc49174688" w:history="1">
        <w:r w:rsidR="00A55DA7" w:rsidRPr="00842EA0">
          <w:rPr>
            <w:rStyle w:val="Hyperlink"/>
            <w:noProof/>
          </w:rPr>
          <w:t>1.3</w:t>
        </w:r>
        <w:r w:rsidR="00A55DA7">
          <w:rPr>
            <w:rFonts w:eastAsiaTheme="minorEastAsia" w:cstheme="minorBidi"/>
            <w:smallCaps w:val="0"/>
            <w:noProof/>
            <w:sz w:val="22"/>
            <w:szCs w:val="22"/>
            <w:lang w:eastAsia="en-GB" w:bidi="ar-SA"/>
          </w:rPr>
          <w:tab/>
        </w:r>
        <w:r w:rsidR="00A55DA7" w:rsidRPr="00842EA0">
          <w:rPr>
            <w:rStyle w:val="Hyperlink"/>
            <w:noProof/>
          </w:rPr>
          <w:t>The current standard</w:t>
        </w:r>
        <w:r w:rsidR="00A55DA7">
          <w:rPr>
            <w:noProof/>
            <w:webHidden/>
          </w:rPr>
          <w:tab/>
        </w:r>
        <w:r w:rsidR="00A55DA7">
          <w:rPr>
            <w:noProof/>
            <w:webHidden/>
          </w:rPr>
          <w:fldChar w:fldCharType="begin"/>
        </w:r>
        <w:r w:rsidR="00A55DA7">
          <w:rPr>
            <w:noProof/>
            <w:webHidden/>
          </w:rPr>
          <w:instrText xml:space="preserve"> PAGEREF _Toc49174688 \h </w:instrText>
        </w:r>
        <w:r w:rsidR="00A55DA7">
          <w:rPr>
            <w:noProof/>
            <w:webHidden/>
          </w:rPr>
        </w:r>
        <w:r w:rsidR="00A55DA7">
          <w:rPr>
            <w:noProof/>
            <w:webHidden/>
          </w:rPr>
          <w:fldChar w:fldCharType="separate"/>
        </w:r>
        <w:r w:rsidR="00D13DF3">
          <w:rPr>
            <w:noProof/>
            <w:webHidden/>
          </w:rPr>
          <w:t>4</w:t>
        </w:r>
        <w:r w:rsidR="00A55DA7">
          <w:rPr>
            <w:noProof/>
            <w:webHidden/>
          </w:rPr>
          <w:fldChar w:fldCharType="end"/>
        </w:r>
      </w:hyperlink>
    </w:p>
    <w:p w14:paraId="6115B877" w14:textId="0140B6D0" w:rsidR="00A55DA7" w:rsidRDefault="00B52417">
      <w:pPr>
        <w:pStyle w:val="TOC2"/>
        <w:tabs>
          <w:tab w:val="left" w:pos="880"/>
          <w:tab w:val="right" w:leader="dot" w:pos="9060"/>
        </w:tabs>
        <w:rPr>
          <w:rFonts w:eastAsiaTheme="minorEastAsia" w:cstheme="minorBidi"/>
          <w:smallCaps w:val="0"/>
          <w:noProof/>
          <w:sz w:val="22"/>
          <w:szCs w:val="22"/>
          <w:lang w:eastAsia="en-GB" w:bidi="ar-SA"/>
        </w:rPr>
      </w:pPr>
      <w:hyperlink w:anchor="_Toc49174689" w:history="1">
        <w:r w:rsidR="00A55DA7" w:rsidRPr="00842EA0">
          <w:rPr>
            <w:rStyle w:val="Hyperlink"/>
            <w:noProof/>
            <w:u w:color="FFFF00"/>
          </w:rPr>
          <w:t>1.4</w:t>
        </w:r>
        <w:r w:rsidR="00A55DA7">
          <w:rPr>
            <w:rFonts w:eastAsiaTheme="minorEastAsia" w:cstheme="minorBidi"/>
            <w:smallCaps w:val="0"/>
            <w:noProof/>
            <w:sz w:val="22"/>
            <w:szCs w:val="22"/>
            <w:lang w:eastAsia="en-GB" w:bidi="ar-SA"/>
          </w:rPr>
          <w:tab/>
        </w:r>
        <w:r w:rsidR="00A55DA7" w:rsidRPr="00842EA0">
          <w:rPr>
            <w:rStyle w:val="Hyperlink"/>
            <w:noProof/>
            <w:u w:color="FFFF00"/>
          </w:rPr>
          <w:t>Reasons for accepting application</w:t>
        </w:r>
        <w:r w:rsidR="00A55DA7">
          <w:rPr>
            <w:noProof/>
            <w:webHidden/>
          </w:rPr>
          <w:tab/>
        </w:r>
        <w:r w:rsidR="00A55DA7">
          <w:rPr>
            <w:noProof/>
            <w:webHidden/>
          </w:rPr>
          <w:fldChar w:fldCharType="begin"/>
        </w:r>
        <w:r w:rsidR="00A55DA7">
          <w:rPr>
            <w:noProof/>
            <w:webHidden/>
          </w:rPr>
          <w:instrText xml:space="preserve"> PAGEREF _Toc49174689 \h </w:instrText>
        </w:r>
        <w:r w:rsidR="00A55DA7">
          <w:rPr>
            <w:noProof/>
            <w:webHidden/>
          </w:rPr>
        </w:r>
        <w:r w:rsidR="00A55DA7">
          <w:rPr>
            <w:noProof/>
            <w:webHidden/>
          </w:rPr>
          <w:fldChar w:fldCharType="separate"/>
        </w:r>
        <w:r w:rsidR="00D13DF3">
          <w:rPr>
            <w:noProof/>
            <w:webHidden/>
          </w:rPr>
          <w:t>5</w:t>
        </w:r>
        <w:r w:rsidR="00A55DA7">
          <w:rPr>
            <w:noProof/>
            <w:webHidden/>
          </w:rPr>
          <w:fldChar w:fldCharType="end"/>
        </w:r>
      </w:hyperlink>
    </w:p>
    <w:p w14:paraId="1952875F" w14:textId="0A36AF72" w:rsidR="00A55DA7" w:rsidRDefault="00B52417">
      <w:pPr>
        <w:pStyle w:val="TOC2"/>
        <w:tabs>
          <w:tab w:val="left" w:pos="880"/>
          <w:tab w:val="right" w:leader="dot" w:pos="9060"/>
        </w:tabs>
        <w:rPr>
          <w:rFonts w:eastAsiaTheme="minorEastAsia" w:cstheme="minorBidi"/>
          <w:smallCaps w:val="0"/>
          <w:noProof/>
          <w:sz w:val="22"/>
          <w:szCs w:val="22"/>
          <w:lang w:eastAsia="en-GB" w:bidi="ar-SA"/>
        </w:rPr>
      </w:pPr>
      <w:hyperlink w:anchor="_Toc49174690" w:history="1">
        <w:r w:rsidR="00A55DA7" w:rsidRPr="00842EA0">
          <w:rPr>
            <w:rStyle w:val="Hyperlink"/>
            <w:noProof/>
          </w:rPr>
          <w:t>1.5</w:t>
        </w:r>
        <w:r w:rsidR="00A55DA7">
          <w:rPr>
            <w:rFonts w:eastAsiaTheme="minorEastAsia" w:cstheme="minorBidi"/>
            <w:smallCaps w:val="0"/>
            <w:noProof/>
            <w:sz w:val="22"/>
            <w:szCs w:val="22"/>
            <w:lang w:eastAsia="en-GB" w:bidi="ar-SA"/>
          </w:rPr>
          <w:tab/>
        </w:r>
        <w:r w:rsidR="00A55DA7" w:rsidRPr="00842EA0">
          <w:rPr>
            <w:rStyle w:val="Hyperlink"/>
            <w:noProof/>
          </w:rPr>
          <w:t>Procedure for assessment</w:t>
        </w:r>
        <w:r w:rsidR="00A55DA7">
          <w:rPr>
            <w:noProof/>
            <w:webHidden/>
          </w:rPr>
          <w:tab/>
        </w:r>
        <w:r w:rsidR="00A55DA7">
          <w:rPr>
            <w:noProof/>
            <w:webHidden/>
          </w:rPr>
          <w:fldChar w:fldCharType="begin"/>
        </w:r>
        <w:r w:rsidR="00A55DA7">
          <w:rPr>
            <w:noProof/>
            <w:webHidden/>
          </w:rPr>
          <w:instrText xml:space="preserve"> PAGEREF _Toc49174690 \h </w:instrText>
        </w:r>
        <w:r w:rsidR="00A55DA7">
          <w:rPr>
            <w:noProof/>
            <w:webHidden/>
          </w:rPr>
        </w:r>
        <w:r w:rsidR="00A55DA7">
          <w:rPr>
            <w:noProof/>
            <w:webHidden/>
          </w:rPr>
          <w:fldChar w:fldCharType="separate"/>
        </w:r>
        <w:r w:rsidR="00D13DF3">
          <w:rPr>
            <w:noProof/>
            <w:webHidden/>
          </w:rPr>
          <w:t>5</w:t>
        </w:r>
        <w:r w:rsidR="00A55DA7">
          <w:rPr>
            <w:noProof/>
            <w:webHidden/>
          </w:rPr>
          <w:fldChar w:fldCharType="end"/>
        </w:r>
      </w:hyperlink>
    </w:p>
    <w:p w14:paraId="0E200EB2" w14:textId="575889FA" w:rsidR="00A55DA7" w:rsidRDefault="00B52417">
      <w:pPr>
        <w:pStyle w:val="TOC2"/>
        <w:tabs>
          <w:tab w:val="left" w:pos="880"/>
          <w:tab w:val="right" w:leader="dot" w:pos="9060"/>
        </w:tabs>
        <w:rPr>
          <w:rFonts w:eastAsiaTheme="minorEastAsia" w:cstheme="minorBidi"/>
          <w:smallCaps w:val="0"/>
          <w:noProof/>
          <w:sz w:val="22"/>
          <w:szCs w:val="22"/>
          <w:lang w:eastAsia="en-GB" w:bidi="ar-SA"/>
        </w:rPr>
      </w:pPr>
      <w:hyperlink w:anchor="_Toc49174691" w:history="1">
        <w:r w:rsidR="00A55DA7" w:rsidRPr="00842EA0">
          <w:rPr>
            <w:rStyle w:val="Hyperlink"/>
            <w:noProof/>
          </w:rPr>
          <w:t>1.6</w:t>
        </w:r>
        <w:r w:rsidR="00A55DA7">
          <w:rPr>
            <w:rFonts w:eastAsiaTheme="minorEastAsia" w:cstheme="minorBidi"/>
            <w:smallCaps w:val="0"/>
            <w:noProof/>
            <w:sz w:val="22"/>
            <w:szCs w:val="22"/>
            <w:lang w:eastAsia="en-GB" w:bidi="ar-SA"/>
          </w:rPr>
          <w:tab/>
        </w:r>
        <w:r w:rsidR="00A55DA7" w:rsidRPr="00842EA0">
          <w:rPr>
            <w:rStyle w:val="Hyperlink"/>
            <w:noProof/>
          </w:rPr>
          <w:t>Decision</w:t>
        </w:r>
        <w:r w:rsidR="00A55DA7">
          <w:rPr>
            <w:noProof/>
            <w:webHidden/>
          </w:rPr>
          <w:tab/>
        </w:r>
        <w:r w:rsidR="00A55DA7">
          <w:rPr>
            <w:noProof/>
            <w:webHidden/>
          </w:rPr>
          <w:fldChar w:fldCharType="begin"/>
        </w:r>
        <w:r w:rsidR="00A55DA7">
          <w:rPr>
            <w:noProof/>
            <w:webHidden/>
          </w:rPr>
          <w:instrText xml:space="preserve"> PAGEREF _Toc49174691 \h </w:instrText>
        </w:r>
        <w:r w:rsidR="00A55DA7">
          <w:rPr>
            <w:noProof/>
            <w:webHidden/>
          </w:rPr>
        </w:r>
        <w:r w:rsidR="00A55DA7">
          <w:rPr>
            <w:noProof/>
            <w:webHidden/>
          </w:rPr>
          <w:fldChar w:fldCharType="separate"/>
        </w:r>
        <w:r w:rsidR="00D13DF3">
          <w:rPr>
            <w:noProof/>
            <w:webHidden/>
          </w:rPr>
          <w:t>5</w:t>
        </w:r>
        <w:r w:rsidR="00A55DA7">
          <w:rPr>
            <w:noProof/>
            <w:webHidden/>
          </w:rPr>
          <w:fldChar w:fldCharType="end"/>
        </w:r>
      </w:hyperlink>
    </w:p>
    <w:p w14:paraId="7EE08B91" w14:textId="1C940A77" w:rsidR="00A55DA7" w:rsidRDefault="00B52417">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174692" w:history="1">
        <w:r w:rsidR="00A55DA7" w:rsidRPr="00842EA0">
          <w:rPr>
            <w:rStyle w:val="Hyperlink"/>
            <w:noProof/>
          </w:rPr>
          <w:t>2</w:t>
        </w:r>
        <w:r w:rsidR="00A55DA7">
          <w:rPr>
            <w:rFonts w:eastAsiaTheme="minorEastAsia" w:cstheme="minorBidi"/>
            <w:b w:val="0"/>
            <w:bCs w:val="0"/>
            <w:caps w:val="0"/>
            <w:noProof/>
            <w:sz w:val="22"/>
            <w:szCs w:val="22"/>
            <w:lang w:eastAsia="en-GB" w:bidi="ar-SA"/>
          </w:rPr>
          <w:tab/>
        </w:r>
        <w:r w:rsidR="00A55DA7" w:rsidRPr="00842EA0">
          <w:rPr>
            <w:rStyle w:val="Hyperlink"/>
            <w:noProof/>
          </w:rPr>
          <w:t>Summary of the assessment</w:t>
        </w:r>
        <w:r w:rsidR="00A55DA7">
          <w:rPr>
            <w:noProof/>
            <w:webHidden/>
          </w:rPr>
          <w:tab/>
        </w:r>
        <w:r w:rsidR="00A55DA7">
          <w:rPr>
            <w:noProof/>
            <w:webHidden/>
          </w:rPr>
          <w:fldChar w:fldCharType="begin"/>
        </w:r>
        <w:r w:rsidR="00A55DA7">
          <w:rPr>
            <w:noProof/>
            <w:webHidden/>
          </w:rPr>
          <w:instrText xml:space="preserve"> PAGEREF _Toc49174692 \h </w:instrText>
        </w:r>
        <w:r w:rsidR="00A55DA7">
          <w:rPr>
            <w:noProof/>
            <w:webHidden/>
          </w:rPr>
        </w:r>
        <w:r w:rsidR="00A55DA7">
          <w:rPr>
            <w:noProof/>
            <w:webHidden/>
          </w:rPr>
          <w:fldChar w:fldCharType="separate"/>
        </w:r>
        <w:r w:rsidR="00D13DF3">
          <w:rPr>
            <w:noProof/>
            <w:webHidden/>
          </w:rPr>
          <w:t>6</w:t>
        </w:r>
        <w:r w:rsidR="00A55DA7">
          <w:rPr>
            <w:noProof/>
            <w:webHidden/>
          </w:rPr>
          <w:fldChar w:fldCharType="end"/>
        </w:r>
      </w:hyperlink>
    </w:p>
    <w:p w14:paraId="07572FC4" w14:textId="32BC0902" w:rsidR="00A55DA7" w:rsidRDefault="00B52417">
      <w:pPr>
        <w:pStyle w:val="TOC2"/>
        <w:tabs>
          <w:tab w:val="left" w:pos="880"/>
          <w:tab w:val="right" w:leader="dot" w:pos="9060"/>
        </w:tabs>
        <w:rPr>
          <w:rFonts w:eastAsiaTheme="minorEastAsia" w:cstheme="minorBidi"/>
          <w:smallCaps w:val="0"/>
          <w:noProof/>
          <w:sz w:val="22"/>
          <w:szCs w:val="22"/>
          <w:lang w:eastAsia="en-GB" w:bidi="ar-SA"/>
        </w:rPr>
      </w:pPr>
      <w:hyperlink w:anchor="_Toc49174693" w:history="1">
        <w:r w:rsidR="00A55DA7" w:rsidRPr="00842EA0">
          <w:rPr>
            <w:rStyle w:val="Hyperlink"/>
            <w:noProof/>
          </w:rPr>
          <w:t>2.1</w:t>
        </w:r>
        <w:r w:rsidR="00A55DA7">
          <w:rPr>
            <w:rFonts w:eastAsiaTheme="minorEastAsia" w:cstheme="minorBidi"/>
            <w:smallCaps w:val="0"/>
            <w:noProof/>
            <w:sz w:val="22"/>
            <w:szCs w:val="22"/>
            <w:lang w:eastAsia="en-GB" w:bidi="ar-SA"/>
          </w:rPr>
          <w:tab/>
        </w:r>
        <w:r w:rsidR="00A55DA7" w:rsidRPr="00842EA0">
          <w:rPr>
            <w:rStyle w:val="Hyperlink"/>
            <w:noProof/>
          </w:rPr>
          <w:t>Summary of issues raised in submissions</w:t>
        </w:r>
        <w:r w:rsidR="00A55DA7">
          <w:rPr>
            <w:noProof/>
            <w:webHidden/>
          </w:rPr>
          <w:tab/>
        </w:r>
        <w:r w:rsidR="00A55DA7">
          <w:rPr>
            <w:noProof/>
            <w:webHidden/>
          </w:rPr>
          <w:fldChar w:fldCharType="begin"/>
        </w:r>
        <w:r w:rsidR="00A55DA7">
          <w:rPr>
            <w:noProof/>
            <w:webHidden/>
          </w:rPr>
          <w:instrText xml:space="preserve"> PAGEREF _Toc49174693 \h </w:instrText>
        </w:r>
        <w:r w:rsidR="00A55DA7">
          <w:rPr>
            <w:noProof/>
            <w:webHidden/>
          </w:rPr>
        </w:r>
        <w:r w:rsidR="00A55DA7">
          <w:rPr>
            <w:noProof/>
            <w:webHidden/>
          </w:rPr>
          <w:fldChar w:fldCharType="separate"/>
        </w:r>
        <w:r w:rsidR="00D13DF3">
          <w:rPr>
            <w:noProof/>
            <w:webHidden/>
          </w:rPr>
          <w:t>6</w:t>
        </w:r>
        <w:r w:rsidR="00A55DA7">
          <w:rPr>
            <w:noProof/>
            <w:webHidden/>
          </w:rPr>
          <w:fldChar w:fldCharType="end"/>
        </w:r>
      </w:hyperlink>
    </w:p>
    <w:p w14:paraId="36D02FDF" w14:textId="4070FB62" w:rsidR="00A55DA7" w:rsidRDefault="00B52417">
      <w:pPr>
        <w:pStyle w:val="TOC2"/>
        <w:tabs>
          <w:tab w:val="left" w:pos="880"/>
          <w:tab w:val="right" w:leader="dot" w:pos="9060"/>
        </w:tabs>
        <w:rPr>
          <w:rFonts w:eastAsiaTheme="minorEastAsia" w:cstheme="minorBidi"/>
          <w:smallCaps w:val="0"/>
          <w:noProof/>
          <w:sz w:val="22"/>
          <w:szCs w:val="22"/>
          <w:lang w:eastAsia="en-GB" w:bidi="ar-SA"/>
        </w:rPr>
      </w:pPr>
      <w:hyperlink w:anchor="_Toc49174694" w:history="1">
        <w:r w:rsidR="00A55DA7" w:rsidRPr="00842EA0">
          <w:rPr>
            <w:rStyle w:val="Hyperlink"/>
            <w:noProof/>
          </w:rPr>
          <w:t>2.2</w:t>
        </w:r>
        <w:r w:rsidR="00A55DA7">
          <w:rPr>
            <w:rFonts w:eastAsiaTheme="minorEastAsia" w:cstheme="minorBidi"/>
            <w:smallCaps w:val="0"/>
            <w:noProof/>
            <w:sz w:val="22"/>
            <w:szCs w:val="22"/>
            <w:lang w:eastAsia="en-GB" w:bidi="ar-SA"/>
          </w:rPr>
          <w:tab/>
        </w:r>
        <w:r w:rsidR="00A55DA7" w:rsidRPr="00842EA0">
          <w:rPr>
            <w:rStyle w:val="Hyperlink"/>
            <w:noProof/>
          </w:rPr>
          <w:t>Safety assessment</w:t>
        </w:r>
        <w:r w:rsidR="00A55DA7">
          <w:rPr>
            <w:noProof/>
            <w:webHidden/>
          </w:rPr>
          <w:tab/>
        </w:r>
        <w:r w:rsidR="00A55DA7">
          <w:rPr>
            <w:noProof/>
            <w:webHidden/>
          </w:rPr>
          <w:fldChar w:fldCharType="begin"/>
        </w:r>
        <w:r w:rsidR="00A55DA7">
          <w:rPr>
            <w:noProof/>
            <w:webHidden/>
          </w:rPr>
          <w:instrText xml:space="preserve"> PAGEREF _Toc49174694 \h </w:instrText>
        </w:r>
        <w:r w:rsidR="00A55DA7">
          <w:rPr>
            <w:noProof/>
            <w:webHidden/>
          </w:rPr>
        </w:r>
        <w:r w:rsidR="00A55DA7">
          <w:rPr>
            <w:noProof/>
            <w:webHidden/>
          </w:rPr>
          <w:fldChar w:fldCharType="separate"/>
        </w:r>
        <w:r w:rsidR="00D13DF3">
          <w:rPr>
            <w:noProof/>
            <w:webHidden/>
          </w:rPr>
          <w:t>16</w:t>
        </w:r>
        <w:r w:rsidR="00A55DA7">
          <w:rPr>
            <w:noProof/>
            <w:webHidden/>
          </w:rPr>
          <w:fldChar w:fldCharType="end"/>
        </w:r>
      </w:hyperlink>
    </w:p>
    <w:p w14:paraId="6BC9444B" w14:textId="53448408" w:rsidR="00A55DA7" w:rsidRDefault="00B52417">
      <w:pPr>
        <w:pStyle w:val="TOC2"/>
        <w:tabs>
          <w:tab w:val="left" w:pos="880"/>
          <w:tab w:val="right" w:leader="dot" w:pos="9060"/>
        </w:tabs>
        <w:rPr>
          <w:rFonts w:eastAsiaTheme="minorEastAsia" w:cstheme="minorBidi"/>
          <w:smallCaps w:val="0"/>
          <w:noProof/>
          <w:sz w:val="22"/>
          <w:szCs w:val="22"/>
          <w:lang w:eastAsia="en-GB" w:bidi="ar-SA"/>
        </w:rPr>
      </w:pPr>
      <w:hyperlink w:anchor="_Toc49174695" w:history="1">
        <w:r w:rsidR="00A55DA7" w:rsidRPr="00842EA0">
          <w:rPr>
            <w:rStyle w:val="Hyperlink"/>
            <w:noProof/>
          </w:rPr>
          <w:t>2.3</w:t>
        </w:r>
        <w:r w:rsidR="00A55DA7">
          <w:rPr>
            <w:rFonts w:eastAsiaTheme="minorEastAsia" w:cstheme="minorBidi"/>
            <w:smallCaps w:val="0"/>
            <w:noProof/>
            <w:sz w:val="22"/>
            <w:szCs w:val="22"/>
            <w:lang w:eastAsia="en-GB" w:bidi="ar-SA"/>
          </w:rPr>
          <w:tab/>
        </w:r>
        <w:r w:rsidR="00A55DA7" w:rsidRPr="00842EA0">
          <w:rPr>
            <w:rStyle w:val="Hyperlink"/>
            <w:noProof/>
          </w:rPr>
          <w:t>Risk management</w:t>
        </w:r>
        <w:r w:rsidR="00A55DA7">
          <w:rPr>
            <w:noProof/>
            <w:webHidden/>
          </w:rPr>
          <w:tab/>
        </w:r>
        <w:r w:rsidR="00A55DA7">
          <w:rPr>
            <w:noProof/>
            <w:webHidden/>
          </w:rPr>
          <w:fldChar w:fldCharType="begin"/>
        </w:r>
        <w:r w:rsidR="00A55DA7">
          <w:rPr>
            <w:noProof/>
            <w:webHidden/>
          </w:rPr>
          <w:instrText xml:space="preserve"> PAGEREF _Toc49174695 \h </w:instrText>
        </w:r>
        <w:r w:rsidR="00A55DA7">
          <w:rPr>
            <w:noProof/>
            <w:webHidden/>
          </w:rPr>
        </w:r>
        <w:r w:rsidR="00A55DA7">
          <w:rPr>
            <w:noProof/>
            <w:webHidden/>
          </w:rPr>
          <w:fldChar w:fldCharType="separate"/>
        </w:r>
        <w:r w:rsidR="00D13DF3">
          <w:rPr>
            <w:noProof/>
            <w:webHidden/>
          </w:rPr>
          <w:t>16</w:t>
        </w:r>
        <w:r w:rsidR="00A55DA7">
          <w:rPr>
            <w:noProof/>
            <w:webHidden/>
          </w:rPr>
          <w:fldChar w:fldCharType="end"/>
        </w:r>
      </w:hyperlink>
    </w:p>
    <w:p w14:paraId="234DD9A0" w14:textId="76263E3F" w:rsidR="00A55DA7" w:rsidRDefault="00B52417">
      <w:pPr>
        <w:pStyle w:val="TOC3"/>
        <w:tabs>
          <w:tab w:val="left" w:pos="1320"/>
          <w:tab w:val="right" w:leader="dot" w:pos="9060"/>
        </w:tabs>
        <w:rPr>
          <w:rFonts w:eastAsiaTheme="minorEastAsia" w:cstheme="minorBidi"/>
          <w:i w:val="0"/>
          <w:iCs w:val="0"/>
          <w:noProof/>
          <w:sz w:val="22"/>
          <w:szCs w:val="22"/>
          <w:lang w:eastAsia="en-GB" w:bidi="ar-SA"/>
        </w:rPr>
      </w:pPr>
      <w:hyperlink w:anchor="_Toc49174696" w:history="1">
        <w:r w:rsidR="00A55DA7" w:rsidRPr="00842EA0">
          <w:rPr>
            <w:rStyle w:val="Hyperlink"/>
            <w:noProof/>
          </w:rPr>
          <w:t xml:space="preserve">2.3.1 </w:t>
        </w:r>
        <w:r w:rsidR="00A55DA7">
          <w:rPr>
            <w:rFonts w:eastAsiaTheme="minorEastAsia" w:cstheme="minorBidi"/>
            <w:i w:val="0"/>
            <w:iCs w:val="0"/>
            <w:noProof/>
            <w:sz w:val="22"/>
            <w:szCs w:val="22"/>
            <w:lang w:eastAsia="en-GB" w:bidi="ar-SA"/>
          </w:rPr>
          <w:tab/>
        </w:r>
        <w:r w:rsidR="00A55DA7" w:rsidRPr="00842EA0">
          <w:rPr>
            <w:rStyle w:val="Hyperlink"/>
            <w:noProof/>
          </w:rPr>
          <w:t>Labelling</w:t>
        </w:r>
        <w:r w:rsidR="00A55DA7">
          <w:rPr>
            <w:noProof/>
            <w:webHidden/>
          </w:rPr>
          <w:tab/>
        </w:r>
        <w:r w:rsidR="00A55DA7">
          <w:rPr>
            <w:noProof/>
            <w:webHidden/>
          </w:rPr>
          <w:fldChar w:fldCharType="begin"/>
        </w:r>
        <w:r w:rsidR="00A55DA7">
          <w:rPr>
            <w:noProof/>
            <w:webHidden/>
          </w:rPr>
          <w:instrText xml:space="preserve"> PAGEREF _Toc49174696 \h </w:instrText>
        </w:r>
        <w:r w:rsidR="00A55DA7">
          <w:rPr>
            <w:noProof/>
            <w:webHidden/>
          </w:rPr>
        </w:r>
        <w:r w:rsidR="00A55DA7">
          <w:rPr>
            <w:noProof/>
            <w:webHidden/>
          </w:rPr>
          <w:fldChar w:fldCharType="separate"/>
        </w:r>
        <w:r w:rsidR="00D13DF3">
          <w:rPr>
            <w:noProof/>
            <w:webHidden/>
          </w:rPr>
          <w:t>16</w:t>
        </w:r>
        <w:r w:rsidR="00A55DA7">
          <w:rPr>
            <w:noProof/>
            <w:webHidden/>
          </w:rPr>
          <w:fldChar w:fldCharType="end"/>
        </w:r>
      </w:hyperlink>
    </w:p>
    <w:p w14:paraId="7CA283A5" w14:textId="087982BA" w:rsidR="00A55DA7" w:rsidRDefault="00B52417">
      <w:pPr>
        <w:pStyle w:val="TOC3"/>
        <w:tabs>
          <w:tab w:val="left" w:pos="1320"/>
          <w:tab w:val="right" w:leader="dot" w:pos="9060"/>
        </w:tabs>
        <w:rPr>
          <w:rFonts w:eastAsiaTheme="minorEastAsia" w:cstheme="minorBidi"/>
          <w:i w:val="0"/>
          <w:iCs w:val="0"/>
          <w:noProof/>
          <w:sz w:val="22"/>
          <w:szCs w:val="22"/>
          <w:lang w:eastAsia="en-GB" w:bidi="ar-SA"/>
        </w:rPr>
      </w:pPr>
      <w:hyperlink w:anchor="_Toc49174697" w:history="1">
        <w:r w:rsidR="00A55DA7" w:rsidRPr="00842EA0">
          <w:rPr>
            <w:rStyle w:val="Hyperlink"/>
            <w:noProof/>
          </w:rPr>
          <w:t xml:space="preserve">2.3.2 </w:t>
        </w:r>
        <w:r w:rsidR="00A55DA7">
          <w:rPr>
            <w:rFonts w:eastAsiaTheme="minorEastAsia" w:cstheme="minorBidi"/>
            <w:i w:val="0"/>
            <w:iCs w:val="0"/>
            <w:noProof/>
            <w:sz w:val="22"/>
            <w:szCs w:val="22"/>
            <w:lang w:eastAsia="en-GB" w:bidi="ar-SA"/>
          </w:rPr>
          <w:tab/>
        </w:r>
        <w:r w:rsidR="00A55DA7" w:rsidRPr="00842EA0">
          <w:rPr>
            <w:rStyle w:val="Hyperlink"/>
            <w:noProof/>
          </w:rPr>
          <w:t>Detection methodology</w:t>
        </w:r>
        <w:r w:rsidR="00A55DA7">
          <w:rPr>
            <w:noProof/>
            <w:webHidden/>
          </w:rPr>
          <w:tab/>
        </w:r>
        <w:r w:rsidR="00A55DA7">
          <w:rPr>
            <w:noProof/>
            <w:webHidden/>
          </w:rPr>
          <w:fldChar w:fldCharType="begin"/>
        </w:r>
        <w:r w:rsidR="00A55DA7">
          <w:rPr>
            <w:noProof/>
            <w:webHidden/>
          </w:rPr>
          <w:instrText xml:space="preserve"> PAGEREF _Toc49174697 \h </w:instrText>
        </w:r>
        <w:r w:rsidR="00A55DA7">
          <w:rPr>
            <w:noProof/>
            <w:webHidden/>
          </w:rPr>
        </w:r>
        <w:r w:rsidR="00A55DA7">
          <w:rPr>
            <w:noProof/>
            <w:webHidden/>
          </w:rPr>
          <w:fldChar w:fldCharType="separate"/>
        </w:r>
        <w:r w:rsidR="00D13DF3">
          <w:rPr>
            <w:noProof/>
            <w:webHidden/>
          </w:rPr>
          <w:t>17</w:t>
        </w:r>
        <w:r w:rsidR="00A55DA7">
          <w:rPr>
            <w:noProof/>
            <w:webHidden/>
          </w:rPr>
          <w:fldChar w:fldCharType="end"/>
        </w:r>
      </w:hyperlink>
    </w:p>
    <w:p w14:paraId="01A15DD0" w14:textId="5A04AB43" w:rsidR="00A55DA7" w:rsidRDefault="00B52417">
      <w:pPr>
        <w:pStyle w:val="TOC2"/>
        <w:tabs>
          <w:tab w:val="left" w:pos="880"/>
          <w:tab w:val="right" w:leader="dot" w:pos="9060"/>
        </w:tabs>
        <w:rPr>
          <w:rFonts w:eastAsiaTheme="minorEastAsia" w:cstheme="minorBidi"/>
          <w:smallCaps w:val="0"/>
          <w:noProof/>
          <w:sz w:val="22"/>
          <w:szCs w:val="22"/>
          <w:lang w:eastAsia="en-GB" w:bidi="ar-SA"/>
        </w:rPr>
      </w:pPr>
      <w:hyperlink w:anchor="_Toc49174698" w:history="1">
        <w:r w:rsidR="00A55DA7" w:rsidRPr="00842EA0">
          <w:rPr>
            <w:rStyle w:val="Hyperlink"/>
            <w:noProof/>
          </w:rPr>
          <w:t>2.4</w:t>
        </w:r>
        <w:r w:rsidR="00A55DA7">
          <w:rPr>
            <w:rFonts w:eastAsiaTheme="minorEastAsia" w:cstheme="minorBidi"/>
            <w:smallCaps w:val="0"/>
            <w:noProof/>
            <w:sz w:val="22"/>
            <w:szCs w:val="22"/>
            <w:lang w:eastAsia="en-GB" w:bidi="ar-SA"/>
          </w:rPr>
          <w:tab/>
        </w:r>
        <w:r w:rsidR="00A55DA7" w:rsidRPr="00842EA0">
          <w:rPr>
            <w:rStyle w:val="Hyperlink"/>
            <w:noProof/>
          </w:rPr>
          <w:t>Risk communication</w:t>
        </w:r>
        <w:r w:rsidR="00A55DA7">
          <w:rPr>
            <w:noProof/>
            <w:webHidden/>
          </w:rPr>
          <w:tab/>
        </w:r>
        <w:r w:rsidR="00A55DA7">
          <w:rPr>
            <w:noProof/>
            <w:webHidden/>
          </w:rPr>
          <w:fldChar w:fldCharType="begin"/>
        </w:r>
        <w:r w:rsidR="00A55DA7">
          <w:rPr>
            <w:noProof/>
            <w:webHidden/>
          </w:rPr>
          <w:instrText xml:space="preserve"> PAGEREF _Toc49174698 \h </w:instrText>
        </w:r>
        <w:r w:rsidR="00A55DA7">
          <w:rPr>
            <w:noProof/>
            <w:webHidden/>
          </w:rPr>
        </w:r>
        <w:r w:rsidR="00A55DA7">
          <w:rPr>
            <w:noProof/>
            <w:webHidden/>
          </w:rPr>
          <w:fldChar w:fldCharType="separate"/>
        </w:r>
        <w:r w:rsidR="00D13DF3">
          <w:rPr>
            <w:noProof/>
            <w:webHidden/>
          </w:rPr>
          <w:t>17</w:t>
        </w:r>
        <w:r w:rsidR="00A55DA7">
          <w:rPr>
            <w:noProof/>
            <w:webHidden/>
          </w:rPr>
          <w:fldChar w:fldCharType="end"/>
        </w:r>
      </w:hyperlink>
    </w:p>
    <w:p w14:paraId="26989442" w14:textId="0E5F1F4A" w:rsidR="00A55DA7" w:rsidRDefault="00B52417">
      <w:pPr>
        <w:pStyle w:val="TOC3"/>
        <w:tabs>
          <w:tab w:val="left" w:pos="1100"/>
          <w:tab w:val="right" w:leader="dot" w:pos="9060"/>
        </w:tabs>
        <w:rPr>
          <w:rFonts w:eastAsiaTheme="minorEastAsia" w:cstheme="minorBidi"/>
          <w:i w:val="0"/>
          <w:iCs w:val="0"/>
          <w:noProof/>
          <w:sz w:val="22"/>
          <w:szCs w:val="22"/>
          <w:lang w:eastAsia="en-GB" w:bidi="ar-SA"/>
        </w:rPr>
      </w:pPr>
      <w:hyperlink w:anchor="_Toc49174699" w:history="1">
        <w:r w:rsidR="00A55DA7" w:rsidRPr="00842EA0">
          <w:rPr>
            <w:rStyle w:val="Hyperlink"/>
            <w:noProof/>
          </w:rPr>
          <w:t>2.4.1</w:t>
        </w:r>
        <w:r w:rsidR="00A55DA7">
          <w:rPr>
            <w:rFonts w:eastAsiaTheme="minorEastAsia" w:cstheme="minorBidi"/>
            <w:i w:val="0"/>
            <w:iCs w:val="0"/>
            <w:noProof/>
            <w:sz w:val="22"/>
            <w:szCs w:val="22"/>
            <w:lang w:eastAsia="en-GB" w:bidi="ar-SA"/>
          </w:rPr>
          <w:tab/>
        </w:r>
        <w:r w:rsidR="00A55DA7" w:rsidRPr="00842EA0">
          <w:rPr>
            <w:rStyle w:val="Hyperlink"/>
            <w:noProof/>
          </w:rPr>
          <w:t>Consultation</w:t>
        </w:r>
        <w:r w:rsidR="00A55DA7">
          <w:rPr>
            <w:noProof/>
            <w:webHidden/>
          </w:rPr>
          <w:tab/>
        </w:r>
        <w:r w:rsidR="00A55DA7">
          <w:rPr>
            <w:noProof/>
            <w:webHidden/>
          </w:rPr>
          <w:fldChar w:fldCharType="begin"/>
        </w:r>
        <w:r w:rsidR="00A55DA7">
          <w:rPr>
            <w:noProof/>
            <w:webHidden/>
          </w:rPr>
          <w:instrText xml:space="preserve"> PAGEREF _Toc49174699 \h </w:instrText>
        </w:r>
        <w:r w:rsidR="00A55DA7">
          <w:rPr>
            <w:noProof/>
            <w:webHidden/>
          </w:rPr>
        </w:r>
        <w:r w:rsidR="00A55DA7">
          <w:rPr>
            <w:noProof/>
            <w:webHidden/>
          </w:rPr>
          <w:fldChar w:fldCharType="separate"/>
        </w:r>
        <w:r w:rsidR="00D13DF3">
          <w:rPr>
            <w:noProof/>
            <w:webHidden/>
          </w:rPr>
          <w:t>17</w:t>
        </w:r>
        <w:r w:rsidR="00A55DA7">
          <w:rPr>
            <w:noProof/>
            <w:webHidden/>
          </w:rPr>
          <w:fldChar w:fldCharType="end"/>
        </w:r>
      </w:hyperlink>
    </w:p>
    <w:p w14:paraId="467C7B73" w14:textId="1FE86FF8" w:rsidR="00A55DA7" w:rsidRDefault="00B52417">
      <w:pPr>
        <w:pStyle w:val="TOC2"/>
        <w:tabs>
          <w:tab w:val="left" w:pos="880"/>
          <w:tab w:val="right" w:leader="dot" w:pos="9060"/>
        </w:tabs>
        <w:rPr>
          <w:rFonts w:eastAsiaTheme="minorEastAsia" w:cstheme="minorBidi"/>
          <w:smallCaps w:val="0"/>
          <w:noProof/>
          <w:sz w:val="22"/>
          <w:szCs w:val="22"/>
          <w:lang w:eastAsia="en-GB" w:bidi="ar-SA"/>
        </w:rPr>
      </w:pPr>
      <w:hyperlink w:anchor="_Toc49174700" w:history="1">
        <w:r w:rsidR="00A55DA7" w:rsidRPr="00842EA0">
          <w:rPr>
            <w:rStyle w:val="Hyperlink"/>
            <w:noProof/>
          </w:rPr>
          <w:t>2.5</w:t>
        </w:r>
        <w:r w:rsidR="00A55DA7">
          <w:rPr>
            <w:rFonts w:eastAsiaTheme="minorEastAsia" w:cstheme="minorBidi"/>
            <w:smallCaps w:val="0"/>
            <w:noProof/>
            <w:sz w:val="22"/>
            <w:szCs w:val="22"/>
            <w:lang w:eastAsia="en-GB" w:bidi="ar-SA"/>
          </w:rPr>
          <w:tab/>
        </w:r>
        <w:r w:rsidR="00A55DA7" w:rsidRPr="00842EA0">
          <w:rPr>
            <w:rStyle w:val="Hyperlink"/>
            <w:noProof/>
          </w:rPr>
          <w:t>FSANZ Act assessment requirements</w:t>
        </w:r>
        <w:r w:rsidR="00A55DA7">
          <w:rPr>
            <w:noProof/>
            <w:webHidden/>
          </w:rPr>
          <w:tab/>
        </w:r>
        <w:r w:rsidR="00A55DA7">
          <w:rPr>
            <w:noProof/>
            <w:webHidden/>
          </w:rPr>
          <w:fldChar w:fldCharType="begin"/>
        </w:r>
        <w:r w:rsidR="00A55DA7">
          <w:rPr>
            <w:noProof/>
            <w:webHidden/>
          </w:rPr>
          <w:instrText xml:space="preserve"> PAGEREF _Toc49174700 \h </w:instrText>
        </w:r>
        <w:r w:rsidR="00A55DA7">
          <w:rPr>
            <w:noProof/>
            <w:webHidden/>
          </w:rPr>
        </w:r>
        <w:r w:rsidR="00A55DA7">
          <w:rPr>
            <w:noProof/>
            <w:webHidden/>
          </w:rPr>
          <w:fldChar w:fldCharType="separate"/>
        </w:r>
        <w:r w:rsidR="00D13DF3">
          <w:rPr>
            <w:noProof/>
            <w:webHidden/>
          </w:rPr>
          <w:t>18</w:t>
        </w:r>
        <w:r w:rsidR="00A55DA7">
          <w:rPr>
            <w:noProof/>
            <w:webHidden/>
          </w:rPr>
          <w:fldChar w:fldCharType="end"/>
        </w:r>
      </w:hyperlink>
    </w:p>
    <w:p w14:paraId="3098B718" w14:textId="5F90B3E5" w:rsidR="00A55DA7" w:rsidRDefault="00B52417">
      <w:pPr>
        <w:pStyle w:val="TOC3"/>
        <w:tabs>
          <w:tab w:val="left" w:pos="1100"/>
          <w:tab w:val="right" w:leader="dot" w:pos="9060"/>
        </w:tabs>
        <w:rPr>
          <w:rFonts w:eastAsiaTheme="minorEastAsia" w:cstheme="minorBidi"/>
          <w:i w:val="0"/>
          <w:iCs w:val="0"/>
          <w:noProof/>
          <w:sz w:val="22"/>
          <w:szCs w:val="22"/>
          <w:lang w:eastAsia="en-GB" w:bidi="ar-SA"/>
        </w:rPr>
      </w:pPr>
      <w:hyperlink w:anchor="_Toc49174701" w:history="1">
        <w:r w:rsidR="00A55DA7" w:rsidRPr="00842EA0">
          <w:rPr>
            <w:rStyle w:val="Hyperlink"/>
            <w:noProof/>
          </w:rPr>
          <w:t>2.5.1</w:t>
        </w:r>
        <w:r w:rsidR="00A55DA7">
          <w:rPr>
            <w:rFonts w:eastAsiaTheme="minorEastAsia" w:cstheme="minorBidi"/>
            <w:i w:val="0"/>
            <w:iCs w:val="0"/>
            <w:noProof/>
            <w:sz w:val="22"/>
            <w:szCs w:val="22"/>
            <w:lang w:eastAsia="en-GB" w:bidi="ar-SA"/>
          </w:rPr>
          <w:tab/>
        </w:r>
        <w:r w:rsidR="00A55DA7" w:rsidRPr="00842EA0">
          <w:rPr>
            <w:rStyle w:val="Hyperlink"/>
            <w:noProof/>
          </w:rPr>
          <w:t>Section 29</w:t>
        </w:r>
        <w:r w:rsidR="00A55DA7">
          <w:rPr>
            <w:noProof/>
            <w:webHidden/>
          </w:rPr>
          <w:tab/>
        </w:r>
        <w:r w:rsidR="00A55DA7">
          <w:rPr>
            <w:noProof/>
            <w:webHidden/>
          </w:rPr>
          <w:fldChar w:fldCharType="begin"/>
        </w:r>
        <w:r w:rsidR="00A55DA7">
          <w:rPr>
            <w:noProof/>
            <w:webHidden/>
          </w:rPr>
          <w:instrText xml:space="preserve"> PAGEREF _Toc49174701 \h </w:instrText>
        </w:r>
        <w:r w:rsidR="00A55DA7">
          <w:rPr>
            <w:noProof/>
            <w:webHidden/>
          </w:rPr>
        </w:r>
        <w:r w:rsidR="00A55DA7">
          <w:rPr>
            <w:noProof/>
            <w:webHidden/>
          </w:rPr>
          <w:fldChar w:fldCharType="separate"/>
        </w:r>
        <w:r w:rsidR="00D13DF3">
          <w:rPr>
            <w:noProof/>
            <w:webHidden/>
          </w:rPr>
          <w:t>18</w:t>
        </w:r>
        <w:r w:rsidR="00A55DA7">
          <w:rPr>
            <w:noProof/>
            <w:webHidden/>
          </w:rPr>
          <w:fldChar w:fldCharType="end"/>
        </w:r>
      </w:hyperlink>
    </w:p>
    <w:p w14:paraId="6DB4DA73" w14:textId="65EBA7DA" w:rsidR="00A55DA7" w:rsidRDefault="00B52417">
      <w:pPr>
        <w:pStyle w:val="TOC3"/>
        <w:tabs>
          <w:tab w:val="left" w:pos="1100"/>
          <w:tab w:val="right" w:leader="dot" w:pos="9060"/>
        </w:tabs>
        <w:rPr>
          <w:rFonts w:eastAsiaTheme="minorEastAsia" w:cstheme="minorBidi"/>
          <w:i w:val="0"/>
          <w:iCs w:val="0"/>
          <w:noProof/>
          <w:sz w:val="22"/>
          <w:szCs w:val="22"/>
          <w:lang w:eastAsia="en-GB" w:bidi="ar-SA"/>
        </w:rPr>
      </w:pPr>
      <w:hyperlink w:anchor="_Toc49174702" w:history="1">
        <w:r w:rsidR="00A55DA7" w:rsidRPr="00842EA0">
          <w:rPr>
            <w:rStyle w:val="Hyperlink"/>
            <w:noProof/>
          </w:rPr>
          <w:t>2.5.2</w:t>
        </w:r>
        <w:r w:rsidR="00A55DA7">
          <w:rPr>
            <w:rFonts w:eastAsiaTheme="minorEastAsia" w:cstheme="minorBidi"/>
            <w:i w:val="0"/>
            <w:iCs w:val="0"/>
            <w:noProof/>
            <w:sz w:val="22"/>
            <w:szCs w:val="22"/>
            <w:lang w:eastAsia="en-GB" w:bidi="ar-SA"/>
          </w:rPr>
          <w:tab/>
        </w:r>
        <w:r w:rsidR="00A55DA7" w:rsidRPr="00842EA0">
          <w:rPr>
            <w:rStyle w:val="Hyperlink"/>
            <w:noProof/>
          </w:rPr>
          <w:t>Subsection 18(1)</w:t>
        </w:r>
        <w:r w:rsidR="00A55DA7">
          <w:rPr>
            <w:noProof/>
            <w:webHidden/>
          </w:rPr>
          <w:tab/>
        </w:r>
        <w:r w:rsidR="00A55DA7">
          <w:rPr>
            <w:noProof/>
            <w:webHidden/>
          </w:rPr>
          <w:fldChar w:fldCharType="begin"/>
        </w:r>
        <w:r w:rsidR="00A55DA7">
          <w:rPr>
            <w:noProof/>
            <w:webHidden/>
          </w:rPr>
          <w:instrText xml:space="preserve"> PAGEREF _Toc49174702 \h </w:instrText>
        </w:r>
        <w:r w:rsidR="00A55DA7">
          <w:rPr>
            <w:noProof/>
            <w:webHidden/>
          </w:rPr>
        </w:r>
        <w:r w:rsidR="00A55DA7">
          <w:rPr>
            <w:noProof/>
            <w:webHidden/>
          </w:rPr>
          <w:fldChar w:fldCharType="separate"/>
        </w:r>
        <w:r w:rsidR="00D13DF3">
          <w:rPr>
            <w:noProof/>
            <w:webHidden/>
          </w:rPr>
          <w:t>19</w:t>
        </w:r>
        <w:r w:rsidR="00A55DA7">
          <w:rPr>
            <w:noProof/>
            <w:webHidden/>
          </w:rPr>
          <w:fldChar w:fldCharType="end"/>
        </w:r>
      </w:hyperlink>
    </w:p>
    <w:p w14:paraId="4E2D5999" w14:textId="57F6C04D" w:rsidR="00A55DA7" w:rsidRDefault="00B52417">
      <w:pPr>
        <w:pStyle w:val="TOC3"/>
        <w:tabs>
          <w:tab w:val="left" w:pos="1100"/>
          <w:tab w:val="right" w:leader="dot" w:pos="9060"/>
        </w:tabs>
        <w:rPr>
          <w:rFonts w:eastAsiaTheme="minorEastAsia" w:cstheme="minorBidi"/>
          <w:i w:val="0"/>
          <w:iCs w:val="0"/>
          <w:noProof/>
          <w:sz w:val="22"/>
          <w:szCs w:val="22"/>
          <w:lang w:eastAsia="en-GB" w:bidi="ar-SA"/>
        </w:rPr>
      </w:pPr>
      <w:hyperlink w:anchor="_Toc49174703" w:history="1">
        <w:r w:rsidR="00A55DA7" w:rsidRPr="00842EA0">
          <w:rPr>
            <w:rStyle w:val="Hyperlink"/>
            <w:noProof/>
          </w:rPr>
          <w:t>2.5.3</w:t>
        </w:r>
        <w:r w:rsidR="00A55DA7">
          <w:rPr>
            <w:rFonts w:eastAsiaTheme="minorEastAsia" w:cstheme="minorBidi"/>
            <w:i w:val="0"/>
            <w:iCs w:val="0"/>
            <w:noProof/>
            <w:sz w:val="22"/>
            <w:szCs w:val="22"/>
            <w:lang w:eastAsia="en-GB" w:bidi="ar-SA"/>
          </w:rPr>
          <w:tab/>
        </w:r>
        <w:r w:rsidR="00A55DA7" w:rsidRPr="00842EA0">
          <w:rPr>
            <w:rStyle w:val="Hyperlink"/>
            <w:noProof/>
          </w:rPr>
          <w:t>Subsection 18(2) considerations</w:t>
        </w:r>
        <w:r w:rsidR="00A55DA7">
          <w:rPr>
            <w:noProof/>
            <w:webHidden/>
          </w:rPr>
          <w:tab/>
        </w:r>
        <w:r w:rsidR="00A55DA7">
          <w:rPr>
            <w:noProof/>
            <w:webHidden/>
          </w:rPr>
          <w:fldChar w:fldCharType="begin"/>
        </w:r>
        <w:r w:rsidR="00A55DA7">
          <w:rPr>
            <w:noProof/>
            <w:webHidden/>
          </w:rPr>
          <w:instrText xml:space="preserve"> PAGEREF _Toc49174703 \h </w:instrText>
        </w:r>
        <w:r w:rsidR="00A55DA7">
          <w:rPr>
            <w:noProof/>
            <w:webHidden/>
          </w:rPr>
        </w:r>
        <w:r w:rsidR="00A55DA7">
          <w:rPr>
            <w:noProof/>
            <w:webHidden/>
          </w:rPr>
          <w:fldChar w:fldCharType="separate"/>
        </w:r>
        <w:r w:rsidR="00D13DF3">
          <w:rPr>
            <w:noProof/>
            <w:webHidden/>
          </w:rPr>
          <w:t>20</w:t>
        </w:r>
        <w:r w:rsidR="00A55DA7">
          <w:rPr>
            <w:noProof/>
            <w:webHidden/>
          </w:rPr>
          <w:fldChar w:fldCharType="end"/>
        </w:r>
      </w:hyperlink>
    </w:p>
    <w:p w14:paraId="3CD32B1C" w14:textId="0D67BD8D" w:rsidR="00A55DA7" w:rsidRDefault="00B52417">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174704" w:history="1">
        <w:r w:rsidR="00A55DA7" w:rsidRPr="00842EA0">
          <w:rPr>
            <w:rStyle w:val="Hyperlink"/>
            <w:noProof/>
          </w:rPr>
          <w:t>3</w:t>
        </w:r>
        <w:r w:rsidR="00A55DA7">
          <w:rPr>
            <w:rFonts w:eastAsiaTheme="minorEastAsia" w:cstheme="minorBidi"/>
            <w:b w:val="0"/>
            <w:bCs w:val="0"/>
            <w:caps w:val="0"/>
            <w:noProof/>
            <w:sz w:val="22"/>
            <w:szCs w:val="22"/>
            <w:lang w:eastAsia="en-GB" w:bidi="ar-SA"/>
          </w:rPr>
          <w:tab/>
        </w:r>
        <w:r w:rsidR="00A55DA7" w:rsidRPr="00842EA0">
          <w:rPr>
            <w:rStyle w:val="Hyperlink"/>
            <w:noProof/>
          </w:rPr>
          <w:t>Draft variation</w:t>
        </w:r>
        <w:r w:rsidR="00A55DA7">
          <w:rPr>
            <w:noProof/>
            <w:webHidden/>
          </w:rPr>
          <w:tab/>
        </w:r>
        <w:r w:rsidR="00A55DA7">
          <w:rPr>
            <w:noProof/>
            <w:webHidden/>
          </w:rPr>
          <w:fldChar w:fldCharType="begin"/>
        </w:r>
        <w:r w:rsidR="00A55DA7">
          <w:rPr>
            <w:noProof/>
            <w:webHidden/>
          </w:rPr>
          <w:instrText xml:space="preserve"> PAGEREF _Toc49174704 \h </w:instrText>
        </w:r>
        <w:r w:rsidR="00A55DA7">
          <w:rPr>
            <w:noProof/>
            <w:webHidden/>
          </w:rPr>
        </w:r>
        <w:r w:rsidR="00A55DA7">
          <w:rPr>
            <w:noProof/>
            <w:webHidden/>
          </w:rPr>
          <w:fldChar w:fldCharType="separate"/>
        </w:r>
        <w:r w:rsidR="00D13DF3">
          <w:rPr>
            <w:noProof/>
            <w:webHidden/>
          </w:rPr>
          <w:t>21</w:t>
        </w:r>
        <w:r w:rsidR="00A55DA7">
          <w:rPr>
            <w:noProof/>
            <w:webHidden/>
          </w:rPr>
          <w:fldChar w:fldCharType="end"/>
        </w:r>
      </w:hyperlink>
    </w:p>
    <w:p w14:paraId="0C299390" w14:textId="1A4DE011" w:rsidR="00A55DA7" w:rsidRDefault="00B52417">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174705" w:history="1">
        <w:r w:rsidR="00A55DA7" w:rsidRPr="00842EA0">
          <w:rPr>
            <w:rStyle w:val="Hyperlink"/>
            <w:noProof/>
          </w:rPr>
          <w:t>4</w:t>
        </w:r>
        <w:r w:rsidR="00A55DA7">
          <w:rPr>
            <w:rFonts w:eastAsiaTheme="minorEastAsia" w:cstheme="minorBidi"/>
            <w:b w:val="0"/>
            <w:bCs w:val="0"/>
            <w:caps w:val="0"/>
            <w:noProof/>
            <w:sz w:val="22"/>
            <w:szCs w:val="22"/>
            <w:lang w:eastAsia="en-GB" w:bidi="ar-SA"/>
          </w:rPr>
          <w:tab/>
        </w:r>
        <w:r w:rsidR="00A55DA7" w:rsidRPr="00842EA0">
          <w:rPr>
            <w:rStyle w:val="Hyperlink"/>
            <w:noProof/>
          </w:rPr>
          <w:t>References</w:t>
        </w:r>
        <w:r w:rsidR="00A55DA7">
          <w:rPr>
            <w:noProof/>
            <w:webHidden/>
          </w:rPr>
          <w:tab/>
        </w:r>
        <w:r w:rsidR="00A55DA7">
          <w:rPr>
            <w:noProof/>
            <w:webHidden/>
          </w:rPr>
          <w:fldChar w:fldCharType="begin"/>
        </w:r>
        <w:r w:rsidR="00A55DA7">
          <w:rPr>
            <w:noProof/>
            <w:webHidden/>
          </w:rPr>
          <w:instrText xml:space="preserve"> PAGEREF _Toc49174705 \h </w:instrText>
        </w:r>
        <w:r w:rsidR="00A55DA7">
          <w:rPr>
            <w:noProof/>
            <w:webHidden/>
          </w:rPr>
        </w:r>
        <w:r w:rsidR="00A55DA7">
          <w:rPr>
            <w:noProof/>
            <w:webHidden/>
          </w:rPr>
          <w:fldChar w:fldCharType="separate"/>
        </w:r>
        <w:r w:rsidR="00D13DF3">
          <w:rPr>
            <w:noProof/>
            <w:webHidden/>
          </w:rPr>
          <w:t>21</w:t>
        </w:r>
        <w:r w:rsidR="00A55DA7">
          <w:rPr>
            <w:noProof/>
            <w:webHidden/>
          </w:rPr>
          <w:fldChar w:fldCharType="end"/>
        </w:r>
      </w:hyperlink>
    </w:p>
    <w:p w14:paraId="320EAC3E" w14:textId="79F30B4D" w:rsidR="00A55DA7" w:rsidRDefault="00B52417">
      <w:pPr>
        <w:pStyle w:val="TOC2"/>
        <w:tabs>
          <w:tab w:val="right" w:leader="dot" w:pos="9060"/>
        </w:tabs>
        <w:rPr>
          <w:rFonts w:eastAsiaTheme="minorEastAsia" w:cstheme="minorBidi"/>
          <w:smallCaps w:val="0"/>
          <w:noProof/>
          <w:sz w:val="22"/>
          <w:szCs w:val="22"/>
          <w:lang w:eastAsia="en-GB" w:bidi="ar-SA"/>
        </w:rPr>
      </w:pPr>
      <w:hyperlink w:anchor="_Toc49174706" w:history="1">
        <w:r w:rsidR="00A55DA7" w:rsidRPr="00842EA0">
          <w:rPr>
            <w:rStyle w:val="Hyperlink"/>
            <w:noProof/>
          </w:rPr>
          <w:t xml:space="preserve">Attachment A – Draft variation to the </w:t>
        </w:r>
        <w:r w:rsidR="00A55DA7" w:rsidRPr="00842EA0">
          <w:rPr>
            <w:rStyle w:val="Hyperlink"/>
            <w:i/>
            <w:noProof/>
          </w:rPr>
          <w:t>Australia New Zealand Food Standards Code</w:t>
        </w:r>
        <w:r w:rsidR="00A55DA7">
          <w:rPr>
            <w:noProof/>
            <w:webHidden/>
          </w:rPr>
          <w:tab/>
        </w:r>
        <w:r w:rsidR="00A55DA7">
          <w:rPr>
            <w:noProof/>
            <w:webHidden/>
          </w:rPr>
          <w:fldChar w:fldCharType="begin"/>
        </w:r>
        <w:r w:rsidR="00A55DA7">
          <w:rPr>
            <w:noProof/>
            <w:webHidden/>
          </w:rPr>
          <w:instrText xml:space="preserve"> PAGEREF _Toc49174706 \h </w:instrText>
        </w:r>
        <w:r w:rsidR="00A55DA7">
          <w:rPr>
            <w:noProof/>
            <w:webHidden/>
          </w:rPr>
        </w:r>
        <w:r w:rsidR="00A55DA7">
          <w:rPr>
            <w:noProof/>
            <w:webHidden/>
          </w:rPr>
          <w:fldChar w:fldCharType="separate"/>
        </w:r>
        <w:r w:rsidR="00D13DF3">
          <w:rPr>
            <w:noProof/>
            <w:webHidden/>
          </w:rPr>
          <w:t>23</w:t>
        </w:r>
        <w:r w:rsidR="00A55DA7">
          <w:rPr>
            <w:noProof/>
            <w:webHidden/>
          </w:rPr>
          <w:fldChar w:fldCharType="end"/>
        </w:r>
      </w:hyperlink>
    </w:p>
    <w:p w14:paraId="77F29173" w14:textId="7983AB14" w:rsidR="00A55DA7" w:rsidRDefault="00B52417">
      <w:pPr>
        <w:pStyle w:val="TOC2"/>
        <w:tabs>
          <w:tab w:val="right" w:leader="dot" w:pos="9060"/>
        </w:tabs>
        <w:rPr>
          <w:rFonts w:eastAsiaTheme="minorEastAsia" w:cstheme="minorBidi"/>
          <w:smallCaps w:val="0"/>
          <w:noProof/>
          <w:sz w:val="22"/>
          <w:szCs w:val="22"/>
          <w:lang w:eastAsia="en-GB" w:bidi="ar-SA"/>
        </w:rPr>
      </w:pPr>
      <w:hyperlink w:anchor="_Toc49174707" w:history="1">
        <w:r w:rsidR="00A55DA7" w:rsidRPr="00842EA0">
          <w:rPr>
            <w:rStyle w:val="Hyperlink"/>
            <w:noProof/>
          </w:rPr>
          <w:t>Attachment B – Explanatory Statement</w:t>
        </w:r>
        <w:r w:rsidR="00A55DA7">
          <w:rPr>
            <w:noProof/>
            <w:webHidden/>
          </w:rPr>
          <w:tab/>
        </w:r>
        <w:r w:rsidR="00A55DA7">
          <w:rPr>
            <w:noProof/>
            <w:webHidden/>
          </w:rPr>
          <w:fldChar w:fldCharType="begin"/>
        </w:r>
        <w:r w:rsidR="00A55DA7">
          <w:rPr>
            <w:noProof/>
            <w:webHidden/>
          </w:rPr>
          <w:instrText xml:space="preserve"> PAGEREF _Toc49174707 \h </w:instrText>
        </w:r>
        <w:r w:rsidR="00A55DA7">
          <w:rPr>
            <w:noProof/>
            <w:webHidden/>
          </w:rPr>
        </w:r>
        <w:r w:rsidR="00A55DA7">
          <w:rPr>
            <w:noProof/>
            <w:webHidden/>
          </w:rPr>
          <w:fldChar w:fldCharType="separate"/>
        </w:r>
        <w:r w:rsidR="00D13DF3">
          <w:rPr>
            <w:noProof/>
            <w:webHidden/>
          </w:rPr>
          <w:t>25</w:t>
        </w:r>
        <w:r w:rsidR="00A55DA7">
          <w:rPr>
            <w:noProof/>
            <w:webHidden/>
          </w:rPr>
          <w:fldChar w:fldCharType="end"/>
        </w:r>
      </w:hyperlink>
    </w:p>
    <w:p w14:paraId="02A85156" w14:textId="3B46AEF4" w:rsidR="0037520F" w:rsidRPr="0089264A" w:rsidRDefault="00051ED9" w:rsidP="00ED0797">
      <w:pPr>
        <w:spacing w:before="240" w:after="240"/>
        <w:rPr>
          <w:szCs w:val="22"/>
        </w:rPr>
      </w:pPr>
      <w:r w:rsidRPr="002C4A91">
        <w:rPr>
          <w:rFonts w:cs="Arial"/>
          <w:sz w:val="20"/>
          <w:szCs w:val="20"/>
        </w:rPr>
        <w:fldChar w:fldCharType="end"/>
      </w:r>
      <w:r w:rsidR="0037520F" w:rsidRPr="008844E4">
        <w:rPr>
          <w:b/>
          <w:szCs w:val="22"/>
        </w:rPr>
        <w:t>Supporting document</w:t>
      </w:r>
      <w:r w:rsidR="00D13221">
        <w:rPr>
          <w:b/>
          <w:szCs w:val="22"/>
        </w:rPr>
        <w:tab/>
      </w:r>
    </w:p>
    <w:p w14:paraId="42DDBB9C" w14:textId="0BD20CFD" w:rsidR="00D13221" w:rsidRPr="0089264A" w:rsidRDefault="00D13221" w:rsidP="00ED0797">
      <w:pPr>
        <w:spacing w:after="240"/>
        <w:rPr>
          <w:szCs w:val="22"/>
        </w:rPr>
      </w:pPr>
      <w:r w:rsidRPr="0089264A">
        <w:rPr>
          <w:szCs w:val="22"/>
        </w:rPr>
        <w:t xml:space="preserve">The </w:t>
      </w:r>
      <w:r w:rsidRPr="006D2F76">
        <w:rPr>
          <w:szCs w:val="22"/>
        </w:rPr>
        <w:t>following document</w:t>
      </w:r>
      <w:r w:rsidR="006D2F76">
        <w:rPr>
          <w:szCs w:val="22"/>
        </w:rPr>
        <w:t xml:space="preserve"> w</w:t>
      </w:r>
      <w:r w:rsidRPr="00EA305C">
        <w:rPr>
          <w:szCs w:val="22"/>
        </w:rPr>
        <w:t xml:space="preserve">hich </w:t>
      </w:r>
      <w:r>
        <w:rPr>
          <w:szCs w:val="22"/>
        </w:rPr>
        <w:t>informed the assessment of this Application</w:t>
      </w:r>
      <w:r w:rsidRPr="00EA305C">
        <w:rPr>
          <w:szCs w:val="22"/>
        </w:rPr>
        <w:t xml:space="preserve"> </w:t>
      </w:r>
      <w:r>
        <w:rPr>
          <w:szCs w:val="22"/>
        </w:rPr>
        <w:t>is</w:t>
      </w:r>
      <w:r w:rsidRPr="0089264A">
        <w:rPr>
          <w:szCs w:val="22"/>
        </w:rPr>
        <w:t xml:space="preserve"> available on the </w:t>
      </w:r>
      <w:hyperlink r:id="rId11" w:history="1">
        <w:r w:rsidRPr="006D2F76">
          <w:rPr>
            <w:rStyle w:val="Hyperlink"/>
            <w:szCs w:val="22"/>
          </w:rPr>
          <w:t>FSANZ website</w:t>
        </w:r>
      </w:hyperlink>
      <w:r w:rsidR="006D2F76">
        <w:rPr>
          <w:rStyle w:val="FootnoteReference"/>
          <w:szCs w:val="22"/>
        </w:rPr>
        <w:footnoteReference w:id="2"/>
      </w:r>
      <w:r>
        <w:rPr>
          <w:szCs w:val="22"/>
        </w:rPr>
        <w:t>:</w:t>
      </w:r>
    </w:p>
    <w:p w14:paraId="1D9944DA" w14:textId="19F93837" w:rsidR="00051ED9" w:rsidRDefault="00D13221" w:rsidP="00ED0797">
      <w:pPr>
        <w:ind w:left="1134" w:hanging="1134"/>
      </w:pPr>
      <w:r w:rsidRPr="00EA305C">
        <w:t>SD1</w:t>
      </w:r>
      <w:r w:rsidRPr="00EA305C">
        <w:tab/>
        <w:t>Safety Assessment Report</w:t>
      </w:r>
      <w:r w:rsidR="00562917" w:rsidRPr="00E203C2">
        <w:br w:type="page"/>
      </w:r>
    </w:p>
    <w:p w14:paraId="24AD2CAD" w14:textId="36CB1B72" w:rsidR="00D13221" w:rsidRPr="00D13221" w:rsidRDefault="00F33BB8" w:rsidP="00D13221">
      <w:pPr>
        <w:pStyle w:val="Heading1"/>
      </w:pPr>
      <w:bookmarkStart w:id="2" w:name="_Toc286391001"/>
      <w:bookmarkStart w:id="3" w:name="_Toc300933414"/>
      <w:bookmarkStart w:id="4" w:name="_Toc49174684"/>
      <w:bookmarkStart w:id="5" w:name="_Toc11735627"/>
      <w:bookmarkStart w:id="6" w:name="_Toc29883110"/>
      <w:bookmarkStart w:id="7" w:name="_Toc41906797"/>
      <w:bookmarkStart w:id="8" w:name="_Toc41907544"/>
      <w:bookmarkStart w:id="9" w:name="_Toc120358575"/>
      <w:r>
        <w:t>E</w:t>
      </w:r>
      <w:r w:rsidR="0037520F">
        <w:t>xecutive s</w:t>
      </w:r>
      <w:r w:rsidR="00E063C6" w:rsidRPr="00E203C2">
        <w:t>ummary</w:t>
      </w:r>
      <w:bookmarkStart w:id="10" w:name="_Toc286391003"/>
      <w:bookmarkEnd w:id="2"/>
      <w:bookmarkEnd w:id="3"/>
      <w:bookmarkEnd w:id="4"/>
    </w:p>
    <w:p w14:paraId="7DC7ADA6" w14:textId="476A9A47" w:rsidR="00D13221" w:rsidRPr="00D13221" w:rsidRDefault="00D13221" w:rsidP="00D13221">
      <w:pPr>
        <w:rPr>
          <w:lang w:bidi="ar-SA"/>
        </w:rPr>
      </w:pPr>
      <w:r w:rsidRPr="00321936">
        <w:rPr>
          <w:lang w:bidi="ar-SA"/>
        </w:rPr>
        <w:t xml:space="preserve">Food Standards Australia New Zealand (FSANZ) received an </w:t>
      </w:r>
      <w:r w:rsidR="00212583">
        <w:rPr>
          <w:lang w:bidi="ar-SA"/>
        </w:rPr>
        <w:t>a</w:t>
      </w:r>
      <w:r w:rsidRPr="00321936">
        <w:rPr>
          <w:lang w:bidi="ar-SA"/>
        </w:rPr>
        <w:t>pplication from SPS International Inc</w:t>
      </w:r>
      <w:r>
        <w:rPr>
          <w:lang w:bidi="ar-SA"/>
        </w:rPr>
        <w:t>.</w:t>
      </w:r>
      <w:r w:rsidRPr="00321936">
        <w:rPr>
          <w:lang w:bidi="ar-SA"/>
        </w:rPr>
        <w:t xml:space="preserve"> </w:t>
      </w:r>
      <w:r>
        <w:rPr>
          <w:lang w:bidi="ar-SA"/>
        </w:rPr>
        <w:t xml:space="preserve">to permit </w:t>
      </w:r>
      <w:r w:rsidRPr="00321936">
        <w:rPr>
          <w:lang w:bidi="ar-SA"/>
        </w:rPr>
        <w:t xml:space="preserve">the sale and use of food derived from </w:t>
      </w:r>
      <w:r w:rsidR="00CA47B3">
        <w:rPr>
          <w:lang w:bidi="ar-SA"/>
        </w:rPr>
        <w:t>two</w:t>
      </w:r>
      <w:r w:rsidR="00233991">
        <w:rPr>
          <w:lang w:bidi="ar-SA"/>
        </w:rPr>
        <w:t xml:space="preserve"> </w:t>
      </w:r>
      <w:r w:rsidRPr="00321936">
        <w:rPr>
          <w:lang w:bidi="ar-SA"/>
        </w:rPr>
        <w:t xml:space="preserve">genetically modified (GM) </w:t>
      </w:r>
      <w:r w:rsidRPr="001E2FCD">
        <w:rPr>
          <w:szCs w:val="20"/>
        </w:rPr>
        <w:t>potato line</w:t>
      </w:r>
      <w:r>
        <w:rPr>
          <w:szCs w:val="20"/>
        </w:rPr>
        <w:t>s</w:t>
      </w:r>
      <w:r w:rsidR="00272518">
        <w:rPr>
          <w:szCs w:val="20"/>
        </w:rPr>
        <w:t xml:space="preserve">, </w:t>
      </w:r>
      <w:r w:rsidR="00B80D9D">
        <w:rPr>
          <w:szCs w:val="20"/>
        </w:rPr>
        <w:t>V11</w:t>
      </w:r>
      <w:r w:rsidR="00272518">
        <w:rPr>
          <w:szCs w:val="20"/>
        </w:rPr>
        <w:t xml:space="preserve"> and </w:t>
      </w:r>
      <w:r w:rsidR="00B80D9D">
        <w:rPr>
          <w:szCs w:val="20"/>
        </w:rPr>
        <w:t>Z6</w:t>
      </w:r>
      <w:r w:rsidR="00272518">
        <w:rPr>
          <w:szCs w:val="20"/>
        </w:rPr>
        <w:t xml:space="preserve">. </w:t>
      </w:r>
      <w:r w:rsidR="00B04135">
        <w:rPr>
          <w:szCs w:val="20"/>
        </w:rPr>
        <w:t>Potato l</w:t>
      </w:r>
      <w:r w:rsidR="00AC696F">
        <w:rPr>
          <w:szCs w:val="20"/>
        </w:rPr>
        <w:t xml:space="preserve">ine </w:t>
      </w:r>
      <w:r w:rsidR="00272518" w:rsidRPr="00272518">
        <w:rPr>
          <w:lang w:bidi="ar-SA"/>
        </w:rPr>
        <w:t>V11</w:t>
      </w:r>
      <w:r w:rsidR="00272518">
        <w:rPr>
          <w:lang w:bidi="ar-SA"/>
        </w:rPr>
        <w:t xml:space="preserve"> has</w:t>
      </w:r>
      <w:r w:rsidR="00272518" w:rsidRPr="00272518">
        <w:rPr>
          <w:lang w:bidi="ar-SA"/>
        </w:rPr>
        <w:t xml:space="preserve"> reduced acrylamide pot</w:t>
      </w:r>
      <w:r w:rsidR="00272518">
        <w:rPr>
          <w:lang w:bidi="ar-SA"/>
        </w:rPr>
        <w:t>ential and reduced browning</w:t>
      </w:r>
      <w:r w:rsidR="00272518" w:rsidRPr="00272518">
        <w:rPr>
          <w:lang w:bidi="ar-SA"/>
        </w:rPr>
        <w:t>.</w:t>
      </w:r>
      <w:r w:rsidR="00B80D9D">
        <w:rPr>
          <w:lang w:bidi="ar-SA"/>
        </w:rPr>
        <w:t xml:space="preserve"> </w:t>
      </w:r>
      <w:r w:rsidR="00B04135">
        <w:rPr>
          <w:lang w:bidi="ar-SA"/>
        </w:rPr>
        <w:t>Potato l</w:t>
      </w:r>
      <w:r w:rsidR="00AC696F">
        <w:rPr>
          <w:lang w:bidi="ar-SA"/>
        </w:rPr>
        <w:t xml:space="preserve">ine </w:t>
      </w:r>
      <w:r w:rsidR="00B80D9D" w:rsidRPr="00272518">
        <w:rPr>
          <w:lang w:bidi="ar-SA"/>
        </w:rPr>
        <w:t>Z6 has disease resistance, reduced acrylamide potential and reduced browning</w:t>
      </w:r>
      <w:r w:rsidR="00B80D9D">
        <w:rPr>
          <w:lang w:bidi="ar-SA"/>
        </w:rPr>
        <w:t>.</w:t>
      </w:r>
    </w:p>
    <w:p w14:paraId="09F89301" w14:textId="77777777" w:rsidR="00D13221" w:rsidRPr="002933AF" w:rsidRDefault="00D13221" w:rsidP="00D13221">
      <w:pPr>
        <w:rPr>
          <w:color w:val="000000" w:themeColor="text1"/>
        </w:rPr>
      </w:pPr>
    </w:p>
    <w:p w14:paraId="202C42A4" w14:textId="21DAE963" w:rsidR="00D13221" w:rsidRPr="002933AF" w:rsidRDefault="00D13221" w:rsidP="00D13221">
      <w:pPr>
        <w:rPr>
          <w:color w:val="000000" w:themeColor="text1"/>
          <w:lang w:bidi="ar-SA"/>
        </w:rPr>
      </w:pPr>
      <w:r w:rsidRPr="002933AF">
        <w:rPr>
          <w:color w:val="000000" w:themeColor="text1"/>
          <w:lang w:bidi="ar-SA"/>
        </w:rPr>
        <w:t>The primary objective of FSANZ in developing or varying a food re</w:t>
      </w:r>
      <w:r w:rsidR="00AE28A2">
        <w:rPr>
          <w:color w:val="000000" w:themeColor="text1"/>
          <w:lang w:bidi="ar-SA"/>
        </w:rPr>
        <w:t xml:space="preserve">gulatory measure, as stated in </w:t>
      </w:r>
      <w:r w:rsidR="00174914">
        <w:rPr>
          <w:color w:val="000000" w:themeColor="text1"/>
          <w:lang w:bidi="ar-SA"/>
        </w:rPr>
        <w:t>s</w:t>
      </w:r>
      <w:r w:rsidR="00174914" w:rsidRPr="002933AF">
        <w:rPr>
          <w:color w:val="000000" w:themeColor="text1"/>
          <w:lang w:bidi="ar-SA"/>
        </w:rPr>
        <w:t xml:space="preserve">ection </w:t>
      </w:r>
      <w:r w:rsidRPr="002933AF">
        <w:rPr>
          <w:color w:val="000000" w:themeColor="text1"/>
          <w:lang w:bidi="ar-SA"/>
        </w:rPr>
        <w:t xml:space="preserve">18 of the </w:t>
      </w:r>
      <w:r w:rsidRPr="002933AF">
        <w:rPr>
          <w:i/>
          <w:color w:val="000000" w:themeColor="text1"/>
          <w:lang w:bidi="ar-SA"/>
        </w:rPr>
        <w:t>Food Standards Australia New Zealand Act 1991</w:t>
      </w:r>
      <w:r w:rsidRPr="002933AF">
        <w:rPr>
          <w:color w:val="000000" w:themeColor="text1"/>
          <w:lang w:bidi="ar-SA"/>
        </w:rPr>
        <w:t xml:space="preserve"> (FSANZ Act), is the protection of public health and safety. Accordingly, the safety assessment is a central part of considering an </w:t>
      </w:r>
      <w:r w:rsidR="007F4E4E">
        <w:rPr>
          <w:color w:val="000000" w:themeColor="text1"/>
          <w:lang w:bidi="ar-SA"/>
        </w:rPr>
        <w:t>application</w:t>
      </w:r>
      <w:r w:rsidRPr="002933AF">
        <w:rPr>
          <w:color w:val="000000" w:themeColor="text1"/>
          <w:lang w:bidi="ar-SA"/>
        </w:rPr>
        <w:t>.</w:t>
      </w:r>
    </w:p>
    <w:p w14:paraId="5D0546AC" w14:textId="77777777" w:rsidR="00D13221" w:rsidRDefault="00D13221" w:rsidP="00D13221">
      <w:pPr>
        <w:rPr>
          <w:color w:val="000000" w:themeColor="text1"/>
          <w:lang w:bidi="ar-SA"/>
        </w:rPr>
      </w:pPr>
    </w:p>
    <w:p w14:paraId="2E751E0F" w14:textId="5C8FE335" w:rsidR="00D13221" w:rsidRDefault="00D13221" w:rsidP="00D13221">
      <w:pPr>
        <w:rPr>
          <w:color w:val="000000" w:themeColor="text1"/>
          <w:lang w:bidi="ar-SA"/>
        </w:rPr>
      </w:pPr>
      <w:r>
        <w:rPr>
          <w:color w:val="000000" w:themeColor="text1"/>
          <w:lang w:bidi="ar-SA"/>
        </w:rPr>
        <w:t xml:space="preserve">The safety assessment of </w:t>
      </w:r>
      <w:r w:rsidR="00B04135">
        <w:rPr>
          <w:color w:val="000000" w:themeColor="text1"/>
          <w:lang w:bidi="ar-SA"/>
        </w:rPr>
        <w:t xml:space="preserve">potato </w:t>
      </w:r>
      <w:r w:rsidR="00AC696F">
        <w:rPr>
          <w:color w:val="000000" w:themeColor="text1"/>
          <w:lang w:bidi="ar-SA"/>
        </w:rPr>
        <w:t xml:space="preserve">lines </w:t>
      </w:r>
      <w:r w:rsidR="007F2B85">
        <w:rPr>
          <w:color w:val="000000" w:themeColor="text1"/>
          <w:lang w:bidi="ar-SA"/>
        </w:rPr>
        <w:t>V11 and Z6</w:t>
      </w:r>
      <w:r w:rsidRPr="002933AF">
        <w:rPr>
          <w:color w:val="000000" w:themeColor="text1"/>
          <w:lang w:bidi="ar-SA"/>
        </w:rPr>
        <w:t xml:space="preserve"> is in Supporting Document 1</w:t>
      </w:r>
      <w:r w:rsidR="007D3347">
        <w:rPr>
          <w:color w:val="000000" w:themeColor="text1"/>
          <w:lang w:bidi="ar-SA"/>
        </w:rPr>
        <w:t xml:space="preserve"> (SD1)</w:t>
      </w:r>
      <w:r w:rsidRPr="002933AF">
        <w:rPr>
          <w:color w:val="000000" w:themeColor="text1"/>
          <w:lang w:bidi="ar-SA"/>
        </w:rPr>
        <w:t>. No potential public health and safety concerns have been identified. Based on the data provided and other information, food de</w:t>
      </w:r>
      <w:r>
        <w:rPr>
          <w:color w:val="000000" w:themeColor="text1"/>
          <w:lang w:bidi="ar-SA"/>
        </w:rPr>
        <w:t xml:space="preserve">rived from </w:t>
      </w:r>
      <w:r w:rsidR="00B04135">
        <w:rPr>
          <w:color w:val="000000" w:themeColor="text1"/>
          <w:lang w:bidi="ar-SA"/>
        </w:rPr>
        <w:t xml:space="preserve">potato </w:t>
      </w:r>
      <w:r w:rsidR="00AC696F">
        <w:rPr>
          <w:color w:val="000000" w:themeColor="text1"/>
          <w:lang w:bidi="ar-SA"/>
        </w:rPr>
        <w:t xml:space="preserve">lines </w:t>
      </w:r>
      <w:r w:rsidR="007F2B85">
        <w:rPr>
          <w:color w:val="000000" w:themeColor="text1"/>
          <w:lang w:bidi="ar-SA"/>
        </w:rPr>
        <w:t>V11 and Z6</w:t>
      </w:r>
      <w:r w:rsidRPr="002933AF">
        <w:rPr>
          <w:color w:val="000000" w:themeColor="text1"/>
          <w:lang w:bidi="ar-SA"/>
        </w:rPr>
        <w:t xml:space="preserve"> is considered to be as safe for human consumption as food derived from </w:t>
      </w:r>
      <w:r>
        <w:rPr>
          <w:color w:val="000000" w:themeColor="text1"/>
          <w:lang w:bidi="ar-SA"/>
        </w:rPr>
        <w:t>conventional</w:t>
      </w:r>
      <w:r w:rsidR="00280AE7">
        <w:rPr>
          <w:color w:val="000000" w:themeColor="text1"/>
          <w:lang w:bidi="ar-SA"/>
        </w:rPr>
        <w:t xml:space="preserve"> (non-GM)</w:t>
      </w:r>
      <w:r>
        <w:rPr>
          <w:color w:val="000000" w:themeColor="text1"/>
          <w:lang w:bidi="ar-SA"/>
        </w:rPr>
        <w:t xml:space="preserve"> </w:t>
      </w:r>
      <w:r w:rsidR="007F2B85">
        <w:rPr>
          <w:color w:val="000000" w:themeColor="text1"/>
          <w:lang w:bidi="ar-SA"/>
        </w:rPr>
        <w:t>potato</w:t>
      </w:r>
      <w:r w:rsidRPr="002933AF">
        <w:rPr>
          <w:color w:val="000000" w:themeColor="text1"/>
          <w:lang w:bidi="ar-SA"/>
        </w:rPr>
        <w:t xml:space="preserve"> cultivars.</w:t>
      </w:r>
      <w:r w:rsidR="009230E5">
        <w:rPr>
          <w:color w:val="000000" w:themeColor="text1"/>
          <w:lang w:bidi="ar-SA"/>
        </w:rPr>
        <w:t xml:space="preserve"> In addition, current labelling requirements for genetically modified food will apply to </w:t>
      </w:r>
      <w:r w:rsidR="009230E5" w:rsidRPr="000C3A49">
        <w:rPr>
          <w:color w:val="000000" w:themeColor="text1"/>
          <w:lang w:bidi="ar-SA"/>
        </w:rPr>
        <w:t>foods for sale that consi</w:t>
      </w:r>
      <w:r w:rsidR="009230E5">
        <w:rPr>
          <w:color w:val="000000" w:themeColor="text1"/>
          <w:lang w:bidi="ar-SA"/>
        </w:rPr>
        <w:t>st of, or have as an ingredient, food that is genetically modified.</w:t>
      </w:r>
    </w:p>
    <w:p w14:paraId="112CF9E2" w14:textId="6FA2F7E6" w:rsidR="000B2C5B" w:rsidRDefault="000B2C5B" w:rsidP="00D13221">
      <w:pPr>
        <w:rPr>
          <w:color w:val="000000" w:themeColor="text1"/>
          <w:lang w:bidi="ar-SA"/>
        </w:rPr>
      </w:pPr>
    </w:p>
    <w:p w14:paraId="5A0D2173" w14:textId="092DC896" w:rsidR="000B2C5B" w:rsidRPr="002933AF" w:rsidRDefault="000B2C5B" w:rsidP="00D13221">
      <w:pPr>
        <w:rPr>
          <w:color w:val="000000" w:themeColor="text1"/>
          <w:lang w:bidi="ar-SA"/>
        </w:rPr>
      </w:pPr>
      <w:r>
        <w:rPr>
          <w:color w:val="000000" w:themeColor="text1"/>
          <w:lang w:bidi="ar-SA"/>
        </w:rPr>
        <w:t xml:space="preserve">Following assessment and the preparation of a draft variation, FSANZ </w:t>
      </w:r>
      <w:r>
        <w:rPr>
          <w:rFonts w:eastAsia="Calibri"/>
        </w:rPr>
        <w:t>called for submissions regarding the draft variation on</w:t>
      </w:r>
      <w:r>
        <w:rPr>
          <w:rFonts w:eastAsia="Calibri"/>
          <w:color w:val="000000" w:themeColor="text1"/>
        </w:rPr>
        <w:t xml:space="preserve"> </w:t>
      </w:r>
      <w:r>
        <w:rPr>
          <w:szCs w:val="20"/>
        </w:rPr>
        <w:t>22 May</w:t>
      </w:r>
      <w:r w:rsidRPr="003C01E7">
        <w:rPr>
          <w:szCs w:val="20"/>
        </w:rPr>
        <w:t xml:space="preserve"> </w:t>
      </w:r>
      <w:r>
        <w:rPr>
          <w:rFonts w:eastAsia="Calibri"/>
          <w:color w:val="000000" w:themeColor="text1"/>
        </w:rPr>
        <w:t xml:space="preserve">2020. A total of eight submissions and one </w:t>
      </w:r>
      <w:r w:rsidRPr="00D4789D">
        <w:rPr>
          <w:rFonts w:eastAsia="Calibri"/>
          <w:i/>
          <w:color w:val="000000" w:themeColor="text1"/>
        </w:rPr>
        <w:t>Late Comment</w:t>
      </w:r>
      <w:r>
        <w:rPr>
          <w:rFonts w:eastAsia="Calibri"/>
          <w:color w:val="000000" w:themeColor="text1"/>
        </w:rPr>
        <w:t xml:space="preserve"> were received, all of which FSANZ has had regard to (see Section 2.1 of this report for a summary of submissions made and FSANZ’s responses to those submissions).</w:t>
      </w:r>
    </w:p>
    <w:p w14:paraId="5E0EFCAA" w14:textId="77777777" w:rsidR="00D13221" w:rsidRPr="002933AF" w:rsidRDefault="00D13221" w:rsidP="00D13221">
      <w:pPr>
        <w:rPr>
          <w:color w:val="000000" w:themeColor="text1"/>
          <w:lang w:bidi="ar-SA"/>
        </w:rPr>
      </w:pPr>
    </w:p>
    <w:p w14:paraId="2B660632" w14:textId="0A3FB20D" w:rsidR="007D3347" w:rsidRPr="00F07212" w:rsidRDefault="000B2C5B" w:rsidP="007D3347">
      <w:pPr>
        <w:rPr>
          <w:color w:val="000000" w:themeColor="text1"/>
          <w:lang w:bidi="ar-SA"/>
        </w:rPr>
      </w:pPr>
      <w:r w:rsidRPr="000B2C5B">
        <w:rPr>
          <w:color w:val="000000" w:themeColor="text1"/>
          <w:lang w:bidi="ar-SA"/>
        </w:rPr>
        <w:t xml:space="preserve">FSANZ has decided to approve the draft variation proposed following assessment without change. </w:t>
      </w:r>
      <w:r>
        <w:rPr>
          <w:color w:val="000000" w:themeColor="text1"/>
          <w:lang w:bidi="ar-SA"/>
        </w:rPr>
        <w:t>The draft variation amends</w:t>
      </w:r>
      <w:r w:rsidR="007D3347" w:rsidRPr="00F07212">
        <w:rPr>
          <w:color w:val="000000" w:themeColor="text1"/>
          <w:lang w:bidi="ar-SA"/>
        </w:rPr>
        <w:t xml:space="preserve"> Schedule 26 </w:t>
      </w:r>
      <w:r w:rsidR="007D3347">
        <w:t xml:space="preserve">of the </w:t>
      </w:r>
      <w:r w:rsidR="007D3347" w:rsidRPr="00AF37B1">
        <w:rPr>
          <w:color w:val="000000" w:themeColor="text1"/>
          <w:szCs w:val="22"/>
        </w:rPr>
        <w:t>Australia New Zealand Food Standards Code</w:t>
      </w:r>
      <w:r w:rsidR="007D3347" w:rsidRPr="002933AF">
        <w:rPr>
          <w:color w:val="000000" w:themeColor="text1"/>
          <w:lang w:bidi="ar-SA"/>
        </w:rPr>
        <w:t xml:space="preserve"> </w:t>
      </w:r>
      <w:r w:rsidR="007D3347">
        <w:rPr>
          <w:color w:val="000000" w:themeColor="text1"/>
          <w:lang w:bidi="ar-SA"/>
        </w:rPr>
        <w:t xml:space="preserve">(the Code) </w:t>
      </w:r>
      <w:r>
        <w:rPr>
          <w:color w:val="000000" w:themeColor="text1"/>
          <w:lang w:bidi="ar-SA"/>
        </w:rPr>
        <w:t xml:space="preserve">by </w:t>
      </w:r>
      <w:r w:rsidR="007D3347" w:rsidRPr="00F07212">
        <w:rPr>
          <w:color w:val="000000" w:themeColor="text1"/>
          <w:lang w:bidi="ar-SA"/>
        </w:rPr>
        <w:t>in</w:t>
      </w:r>
      <w:r w:rsidR="007D3347">
        <w:rPr>
          <w:color w:val="000000" w:themeColor="text1"/>
          <w:lang w:bidi="ar-SA"/>
        </w:rPr>
        <w:t>sert</w:t>
      </w:r>
      <w:r>
        <w:rPr>
          <w:color w:val="000000" w:themeColor="text1"/>
          <w:lang w:bidi="ar-SA"/>
        </w:rPr>
        <w:t>ing</w:t>
      </w:r>
      <w:r w:rsidR="007D3347" w:rsidRPr="00F07212">
        <w:rPr>
          <w:color w:val="000000" w:themeColor="text1"/>
          <w:lang w:bidi="ar-SA"/>
        </w:rPr>
        <w:t xml:space="preserve"> reference</w:t>
      </w:r>
      <w:r w:rsidR="00B80D9D">
        <w:rPr>
          <w:color w:val="000000" w:themeColor="text1"/>
          <w:lang w:bidi="ar-SA"/>
        </w:rPr>
        <w:t>s</w:t>
      </w:r>
      <w:r w:rsidR="007D3347" w:rsidRPr="00F07212">
        <w:rPr>
          <w:color w:val="000000" w:themeColor="text1"/>
          <w:lang w:bidi="ar-SA"/>
        </w:rPr>
        <w:t xml:space="preserve"> </w:t>
      </w:r>
      <w:r w:rsidR="007D3347">
        <w:rPr>
          <w:color w:val="000000" w:themeColor="text1"/>
          <w:lang w:bidi="ar-SA"/>
        </w:rPr>
        <w:t xml:space="preserve">into that Schedule </w:t>
      </w:r>
      <w:r w:rsidR="007D3347" w:rsidRPr="00F07212">
        <w:rPr>
          <w:color w:val="000000" w:themeColor="text1"/>
          <w:lang w:bidi="ar-SA"/>
        </w:rPr>
        <w:t xml:space="preserve">to </w:t>
      </w:r>
      <w:r w:rsidR="007D3347">
        <w:rPr>
          <w:color w:val="000000" w:themeColor="text1"/>
          <w:lang w:bidi="ar-SA"/>
        </w:rPr>
        <w:t xml:space="preserve">potato lines V11 </w:t>
      </w:r>
      <w:r w:rsidR="008E5AAD">
        <w:rPr>
          <w:color w:val="000000" w:themeColor="text1"/>
          <w:lang w:bidi="ar-SA"/>
        </w:rPr>
        <w:t>and</w:t>
      </w:r>
      <w:r w:rsidR="007D3347">
        <w:rPr>
          <w:color w:val="000000" w:themeColor="text1"/>
          <w:lang w:bidi="ar-SA"/>
        </w:rPr>
        <w:t xml:space="preserve"> Z6</w:t>
      </w:r>
      <w:r w:rsidR="007D3347" w:rsidRPr="00F07212">
        <w:rPr>
          <w:color w:val="000000" w:themeColor="text1"/>
          <w:lang w:bidi="ar-SA"/>
        </w:rPr>
        <w:t>.</w:t>
      </w:r>
      <w:r w:rsidR="007D3347">
        <w:rPr>
          <w:color w:val="000000" w:themeColor="text1"/>
          <w:lang w:bidi="ar-SA"/>
        </w:rPr>
        <w:t xml:space="preserve"> </w:t>
      </w:r>
      <w:r w:rsidR="007D3347" w:rsidRPr="001E0CD5">
        <w:rPr>
          <w:color w:val="000000" w:themeColor="text1"/>
          <w:lang w:val="en-AU"/>
        </w:rPr>
        <w:t xml:space="preserve">The effect of the variation is to permit </w:t>
      </w:r>
      <w:r w:rsidR="007D3347" w:rsidRPr="001E0CD5">
        <w:rPr>
          <w:color w:val="000000" w:themeColor="text1"/>
        </w:rPr>
        <w:t xml:space="preserve">the </w:t>
      </w:r>
      <w:r w:rsidR="007D3347">
        <w:rPr>
          <w:color w:val="000000" w:themeColor="text1"/>
        </w:rPr>
        <w:t xml:space="preserve">use or </w:t>
      </w:r>
      <w:r w:rsidR="007D3347" w:rsidRPr="001E0CD5">
        <w:rPr>
          <w:color w:val="000000" w:themeColor="text1"/>
        </w:rPr>
        <w:t xml:space="preserve">sale of food </w:t>
      </w:r>
      <w:r w:rsidR="007D3347">
        <w:rPr>
          <w:color w:val="000000" w:themeColor="text1"/>
        </w:rPr>
        <w:t>derived from these potato</w:t>
      </w:r>
      <w:r w:rsidR="007D3347" w:rsidRPr="001E0CD5">
        <w:rPr>
          <w:color w:val="000000" w:themeColor="text1"/>
        </w:rPr>
        <w:t xml:space="preserve"> line</w:t>
      </w:r>
      <w:r w:rsidR="007D3347">
        <w:rPr>
          <w:color w:val="000000" w:themeColor="text1"/>
        </w:rPr>
        <w:t>s</w:t>
      </w:r>
      <w:r w:rsidR="007D3347" w:rsidRPr="001E0CD5">
        <w:rPr>
          <w:color w:val="000000" w:themeColor="text1"/>
          <w:lang w:val="en-AU"/>
        </w:rPr>
        <w:t xml:space="preserve"> in accordance with</w:t>
      </w:r>
      <w:r w:rsidR="00A1751C">
        <w:rPr>
          <w:color w:val="000000" w:themeColor="text1"/>
          <w:lang w:val="en-AU"/>
        </w:rPr>
        <w:t xml:space="preserve"> </w:t>
      </w:r>
      <w:r w:rsidR="009D4E1C">
        <w:rPr>
          <w:color w:val="000000" w:themeColor="text1"/>
          <w:lang w:val="en-AU"/>
        </w:rPr>
        <w:t>the Code</w:t>
      </w:r>
      <w:r w:rsidR="007D3347">
        <w:rPr>
          <w:color w:val="000000" w:themeColor="text1"/>
          <w:lang w:val="en-AU"/>
        </w:rPr>
        <w:t>.</w:t>
      </w:r>
    </w:p>
    <w:p w14:paraId="5102DE0F" w14:textId="77777777" w:rsidR="0053464E" w:rsidRDefault="0053464E" w:rsidP="00A56E34">
      <w:r>
        <w:br w:type="page"/>
      </w:r>
    </w:p>
    <w:p w14:paraId="760DBB77" w14:textId="77777777" w:rsidR="002A5F8B" w:rsidRPr="000B6AF2" w:rsidRDefault="00F33BB8" w:rsidP="000B6AF2">
      <w:pPr>
        <w:pStyle w:val="Heading1"/>
      </w:pPr>
      <w:bookmarkStart w:id="11" w:name="_Toc300933417"/>
      <w:bookmarkStart w:id="12" w:name="_Toc49174685"/>
      <w:r>
        <w:t>1</w:t>
      </w:r>
      <w:r w:rsidR="001542D8">
        <w:tab/>
      </w:r>
      <w:r w:rsidR="002A5F8B" w:rsidRPr="000B6AF2">
        <w:t>Introduction</w:t>
      </w:r>
      <w:bookmarkEnd w:id="10"/>
      <w:bookmarkEnd w:id="11"/>
      <w:bookmarkEnd w:id="12"/>
    </w:p>
    <w:p w14:paraId="07DDB227" w14:textId="70674DBC" w:rsidR="0053464E" w:rsidRPr="0053464E" w:rsidRDefault="00F33BB8" w:rsidP="00A56E34">
      <w:pPr>
        <w:pStyle w:val="Heading2"/>
      </w:pPr>
      <w:bookmarkStart w:id="13" w:name="_Toc300761890"/>
      <w:bookmarkStart w:id="14" w:name="_Toc49174686"/>
      <w:bookmarkStart w:id="15" w:name="_Toc300933419"/>
      <w:r>
        <w:t>1</w:t>
      </w:r>
      <w:r w:rsidR="005A687C">
        <w:t>.1</w:t>
      </w:r>
      <w:r w:rsidR="005A687C">
        <w:tab/>
        <w:t>The a</w:t>
      </w:r>
      <w:r w:rsidR="0053464E" w:rsidRPr="0053464E">
        <w:t>pplicant</w:t>
      </w:r>
      <w:bookmarkEnd w:id="13"/>
      <w:bookmarkEnd w:id="14"/>
      <w:r w:rsidR="00256D65" w:rsidRPr="00256D65">
        <w:t xml:space="preserve"> </w:t>
      </w:r>
      <w:bookmarkEnd w:id="15"/>
    </w:p>
    <w:p w14:paraId="657B4CD7" w14:textId="67C2CEAE" w:rsidR="007F2B85" w:rsidRPr="00107E06" w:rsidRDefault="007F2B85" w:rsidP="007F2B85">
      <w:pPr>
        <w:rPr>
          <w:color w:val="000000" w:themeColor="text1"/>
        </w:rPr>
      </w:pPr>
      <w:bookmarkStart w:id="16" w:name="_Toc300761891"/>
      <w:bookmarkStart w:id="17" w:name="_Toc300933420"/>
      <w:r w:rsidRPr="00107E06">
        <w:rPr>
          <w:color w:val="000000" w:themeColor="text1"/>
        </w:rPr>
        <w:t>SPS International Inc</w:t>
      </w:r>
      <w:r>
        <w:rPr>
          <w:color w:val="000000" w:themeColor="text1"/>
        </w:rPr>
        <w:t>.</w:t>
      </w:r>
      <w:r w:rsidRPr="00107E06">
        <w:rPr>
          <w:color w:val="000000" w:themeColor="text1"/>
        </w:rPr>
        <w:t xml:space="preserve"> (SPS</w:t>
      </w:r>
      <w:r>
        <w:rPr>
          <w:color w:val="000000" w:themeColor="text1"/>
        </w:rPr>
        <w:t>II</w:t>
      </w:r>
      <w:r w:rsidRPr="00107E06">
        <w:rPr>
          <w:color w:val="000000" w:themeColor="text1"/>
        </w:rPr>
        <w:t>) is a subsidiary of the United States of America (USA) food and agribusiness company J.R. Simplot Company located in Boise, Idaho, USA.</w:t>
      </w:r>
    </w:p>
    <w:p w14:paraId="5BB0AD93" w14:textId="5B8B6CD0" w:rsidR="0053464E" w:rsidRPr="0053464E" w:rsidRDefault="00F33BB8" w:rsidP="00A56E34">
      <w:pPr>
        <w:pStyle w:val="Heading2"/>
      </w:pPr>
      <w:bookmarkStart w:id="18" w:name="_Toc49174687"/>
      <w:r>
        <w:t>1</w:t>
      </w:r>
      <w:r w:rsidR="0053464E" w:rsidRPr="0053464E">
        <w:t>.2</w:t>
      </w:r>
      <w:r w:rsidR="0053464E" w:rsidRPr="0053464E">
        <w:tab/>
        <w:t>The</w:t>
      </w:r>
      <w:r w:rsidR="00CF2F35">
        <w:t xml:space="preserve"> a</w:t>
      </w:r>
      <w:r w:rsidR="0053464E" w:rsidRPr="007F2B85">
        <w:t>pplication</w:t>
      </w:r>
      <w:bookmarkEnd w:id="16"/>
      <w:bookmarkEnd w:id="17"/>
      <w:bookmarkEnd w:id="18"/>
    </w:p>
    <w:p w14:paraId="444A7A86" w14:textId="2EE7CC70" w:rsidR="007F2B85" w:rsidRPr="007F2B85" w:rsidRDefault="007F2B85" w:rsidP="00ED0797">
      <w:pPr>
        <w:spacing w:after="240"/>
        <w:rPr>
          <w:color w:val="FF0000"/>
        </w:rPr>
      </w:pPr>
      <w:bookmarkStart w:id="19" w:name="_Toc300761892"/>
      <w:bookmarkStart w:id="20" w:name="_Toc300933421"/>
      <w:r w:rsidRPr="005E5CAC">
        <w:t>Application A11</w:t>
      </w:r>
      <w:r w:rsidR="005E5CAC" w:rsidRPr="005E5CAC">
        <w:t>99</w:t>
      </w:r>
      <w:r w:rsidRPr="005E5CAC">
        <w:t xml:space="preserve"> was lodged by SPS</w:t>
      </w:r>
      <w:r w:rsidR="005E5CAC">
        <w:t>II</w:t>
      </w:r>
      <w:r w:rsidRPr="005E5CAC">
        <w:t xml:space="preserve"> on </w:t>
      </w:r>
      <w:r w:rsidR="005E5CAC" w:rsidRPr="005E5CAC">
        <w:rPr>
          <w:lang w:bidi="ar-SA"/>
        </w:rPr>
        <w:t>16</w:t>
      </w:r>
      <w:r w:rsidRPr="005E5CAC">
        <w:rPr>
          <w:lang w:bidi="ar-SA"/>
        </w:rPr>
        <w:t xml:space="preserve"> December</w:t>
      </w:r>
      <w:r w:rsidR="005E5CAC" w:rsidRPr="005E5CAC">
        <w:rPr>
          <w:lang w:bidi="ar-SA"/>
        </w:rPr>
        <w:t xml:space="preserve"> 2019</w:t>
      </w:r>
      <w:r w:rsidRPr="005E5CAC">
        <w:t xml:space="preserve">. It seeks approval for the sale </w:t>
      </w:r>
      <w:r w:rsidR="007B59A8">
        <w:t xml:space="preserve">and use </w:t>
      </w:r>
      <w:r w:rsidRPr="005E5CAC">
        <w:t>of food derived from potatoes that have disease resistance to foliar late blight, reduced blackspot bruising and reduced acrylamide potential</w:t>
      </w:r>
      <w:r w:rsidRPr="00630A65">
        <w:t xml:space="preserve">. </w:t>
      </w:r>
      <w:r w:rsidR="005E5CAC" w:rsidRPr="00630A65">
        <w:t>Two</w:t>
      </w:r>
      <w:r w:rsidRPr="00630A65">
        <w:t xml:space="preserve"> potato lines were generated from a two-step transformation process using </w:t>
      </w:r>
      <w:r w:rsidR="00630A65" w:rsidRPr="00630A65">
        <w:t>a common potato variety</w:t>
      </w:r>
      <w:r w:rsidRPr="00630A65">
        <w:t xml:space="preserve"> (</w:t>
      </w:r>
      <w:r w:rsidR="00630A65" w:rsidRPr="00630A65">
        <w:t>Snowden</w:t>
      </w:r>
      <w:r w:rsidRPr="00630A65">
        <w:t>).</w:t>
      </w:r>
    </w:p>
    <w:p w14:paraId="20A1E1A1" w14:textId="35B29DA8" w:rsidR="00A20946" w:rsidRDefault="00A20946" w:rsidP="00ED0797">
      <w:pPr>
        <w:spacing w:after="240"/>
      </w:pPr>
      <w:r>
        <w:t>Line V11</w:t>
      </w:r>
      <w:r>
        <w:rPr>
          <w:rFonts w:cs="Arial"/>
        </w:rPr>
        <w:t xml:space="preserve"> </w:t>
      </w:r>
      <w:r>
        <w:t xml:space="preserve">has been genetically modified to silence four endogenous genes via RNA interference (RNAi): </w:t>
      </w:r>
      <w:r w:rsidR="005147EB">
        <w:t>t</w:t>
      </w:r>
      <w:r>
        <w:t xml:space="preserve">hree of the genes encode enzymes involved in the synthesis of asparagine, and the </w:t>
      </w:r>
      <w:r w:rsidRPr="00E65C35">
        <w:t>conversion of starch and sucrose into the reducing sugars, glucose and fructose</w:t>
      </w:r>
      <w:r>
        <w:t>.</w:t>
      </w:r>
      <w:r w:rsidR="00365EB6">
        <w:t xml:space="preserve"> </w:t>
      </w:r>
      <w:r w:rsidR="00365EB6">
        <w:rPr>
          <w:rFonts w:eastAsiaTheme="minorHAnsi" w:cs="Arial"/>
          <w:szCs w:val="22"/>
        </w:rPr>
        <w:t>Silencing</w:t>
      </w:r>
      <w:r w:rsidR="00365EB6" w:rsidRPr="00630A65">
        <w:rPr>
          <w:rFonts w:eastAsiaTheme="minorHAnsi" w:cs="Arial"/>
          <w:szCs w:val="22"/>
        </w:rPr>
        <w:t xml:space="preserve"> the expression of the</w:t>
      </w:r>
      <w:r w:rsidR="00365EB6">
        <w:rPr>
          <w:rFonts w:eastAsiaTheme="minorHAnsi" w:cs="Arial"/>
          <w:szCs w:val="22"/>
        </w:rPr>
        <w:t>se</w:t>
      </w:r>
      <w:r w:rsidR="00365EB6" w:rsidRPr="00630A65">
        <w:rPr>
          <w:rFonts w:eastAsiaTheme="minorHAnsi" w:cs="Arial"/>
          <w:szCs w:val="22"/>
        </w:rPr>
        <w:t xml:space="preserve"> genes </w:t>
      </w:r>
      <w:r w:rsidR="00365EB6">
        <w:rPr>
          <w:rFonts w:eastAsiaTheme="minorHAnsi" w:cs="Arial"/>
          <w:szCs w:val="22"/>
        </w:rPr>
        <w:t>reduces the</w:t>
      </w:r>
      <w:r w:rsidR="00365EB6" w:rsidRPr="00630A65">
        <w:rPr>
          <w:rFonts w:eastAsiaTheme="minorHAnsi" w:cs="Arial"/>
          <w:szCs w:val="22"/>
        </w:rPr>
        <w:t xml:space="preserve"> levels of free asparagine and reducing sugars in the </w:t>
      </w:r>
      <w:r w:rsidR="00365EB6">
        <w:rPr>
          <w:rFonts w:eastAsiaTheme="minorHAnsi" w:cs="Arial"/>
          <w:szCs w:val="22"/>
        </w:rPr>
        <w:t xml:space="preserve">potato </w:t>
      </w:r>
      <w:r w:rsidR="00365EB6" w:rsidRPr="00630A65">
        <w:rPr>
          <w:rFonts w:eastAsiaTheme="minorHAnsi" w:cs="Arial"/>
          <w:szCs w:val="22"/>
        </w:rPr>
        <w:t>tuber. Asparagine and reducing sugars can react via the Maillard reaction to produce acrylamide, at temperatures consistent with frying and baking.</w:t>
      </w:r>
      <w:r w:rsidR="00365EB6">
        <w:rPr>
          <w:rFonts w:eastAsiaTheme="minorHAnsi" w:cs="Arial"/>
          <w:szCs w:val="22"/>
        </w:rPr>
        <w:t xml:space="preserve"> The fourth gene that was silenced encodes an enzyme involved in the browning reaction that occurs when the potato tuber is damaged (cut or bruised). Silencing this gene reduces browning in the tuber, resulting in less food waste.</w:t>
      </w:r>
    </w:p>
    <w:p w14:paraId="79E01806" w14:textId="46F1EBF4" w:rsidR="007F2B85" w:rsidRPr="007F2B85" w:rsidRDefault="00B04135" w:rsidP="00ED0797">
      <w:pPr>
        <w:autoSpaceDE w:val="0"/>
        <w:autoSpaceDN w:val="0"/>
        <w:adjustRightInd w:val="0"/>
        <w:spacing w:after="240"/>
        <w:rPr>
          <w:rFonts w:eastAsiaTheme="minorHAnsi" w:cs="Arial"/>
          <w:color w:val="FF0000"/>
          <w:szCs w:val="22"/>
        </w:rPr>
      </w:pPr>
      <w:r>
        <w:t>Potato l</w:t>
      </w:r>
      <w:r w:rsidR="00A20946">
        <w:t xml:space="preserve">ine Z6 was derived through further genetic modification of line V11 to introduce </w:t>
      </w:r>
      <w:r w:rsidR="000276F0">
        <w:t xml:space="preserve">a new </w:t>
      </w:r>
      <w:r w:rsidR="00A20946">
        <w:t xml:space="preserve">  gene encoding </w:t>
      </w:r>
      <w:r w:rsidR="000276F0">
        <w:t xml:space="preserve">a resistance protein targeting a fungal pathogen of potato (foliar late blight) </w:t>
      </w:r>
      <w:r w:rsidR="00A20946">
        <w:t>as well as silenc</w:t>
      </w:r>
      <w:r w:rsidR="008E5AAD">
        <w:t>ing</w:t>
      </w:r>
      <w:r w:rsidR="00A20946">
        <w:t xml:space="preserve"> an endogenous gene</w:t>
      </w:r>
      <w:r w:rsidR="000276F0">
        <w:t xml:space="preserve"> encoding an </w:t>
      </w:r>
      <w:r w:rsidR="005147EB">
        <w:t xml:space="preserve">additional </w:t>
      </w:r>
      <w:r w:rsidR="000276F0">
        <w:t xml:space="preserve">enzyme </w:t>
      </w:r>
      <w:r w:rsidR="005147EB">
        <w:t>involved in reducing sugar formation.</w:t>
      </w:r>
      <w:r w:rsidR="000276F0">
        <w:t xml:space="preserve"> </w:t>
      </w:r>
      <w:r>
        <w:t>Potato l</w:t>
      </w:r>
      <w:r w:rsidR="005147EB">
        <w:t xml:space="preserve">ine Z6 therefore shows reduced browning, further reduction in acrylamide potential (compared to </w:t>
      </w:r>
      <w:r>
        <w:t xml:space="preserve">potato </w:t>
      </w:r>
      <w:r w:rsidR="00AC696F">
        <w:t xml:space="preserve">line </w:t>
      </w:r>
      <w:r w:rsidR="005147EB">
        <w:t>V11) and is resistant to foliar late blight.</w:t>
      </w:r>
    </w:p>
    <w:p w14:paraId="16EE77D0" w14:textId="25A3C492" w:rsidR="00F5153F" w:rsidRPr="00F5153F" w:rsidRDefault="00F5153F" w:rsidP="00237B0C">
      <w:pPr>
        <w:rPr>
          <w:color w:val="FF0000"/>
        </w:rPr>
      </w:pPr>
      <w:r w:rsidRPr="00F5153F">
        <w:t xml:space="preserve">The </w:t>
      </w:r>
      <w:r w:rsidR="00212583">
        <w:t>a</w:t>
      </w:r>
      <w:r w:rsidRPr="00F5153F">
        <w:t>pplicant has</w:t>
      </w:r>
      <w:r w:rsidR="005B5503">
        <w:t xml:space="preserve"> stated that </w:t>
      </w:r>
      <w:r w:rsidR="005A687C">
        <w:t>i</w:t>
      </w:r>
      <w:r w:rsidR="000B59CF">
        <w:t>t</w:t>
      </w:r>
      <w:r w:rsidR="005B5503">
        <w:t xml:space="preserve"> do</w:t>
      </w:r>
      <w:r w:rsidR="000B59CF">
        <w:t>es</w:t>
      </w:r>
      <w:r w:rsidR="005B5503">
        <w:t xml:space="preserve"> not currently intend to import food derived from potato lines V11 and Z6 into Australia and New Zealand, but the</w:t>
      </w:r>
      <w:r w:rsidR="002B24C7">
        <w:t>ir</w:t>
      </w:r>
      <w:r w:rsidR="005B5503">
        <w:t xml:space="preserve"> primary aim </w:t>
      </w:r>
      <w:r w:rsidR="002B24C7">
        <w:t xml:space="preserve">for this </w:t>
      </w:r>
      <w:r w:rsidR="005B5503">
        <w:t xml:space="preserve">application is </w:t>
      </w:r>
      <w:r w:rsidR="00237B0C" w:rsidRPr="00237B0C">
        <w:t xml:space="preserve">to facilitate trade in end consumer products </w:t>
      </w:r>
      <w:r w:rsidR="00237B0C">
        <w:rPr>
          <w:rFonts w:cs="Arial"/>
          <w:szCs w:val="22"/>
        </w:rPr>
        <w:t xml:space="preserve">(such as </w:t>
      </w:r>
      <w:r w:rsidR="00237B0C" w:rsidRPr="00237B0C">
        <w:t>french fries, potato crisps, potato flour or potato starch) if and when manufacturers choose to import these into Australia and New Zealand</w:t>
      </w:r>
      <w:r w:rsidR="005B5503">
        <w:t>.</w:t>
      </w:r>
      <w:r w:rsidR="00EC44DB" w:rsidRPr="00EC44DB">
        <w:t xml:space="preserve"> </w:t>
      </w:r>
    </w:p>
    <w:p w14:paraId="25C9607D" w14:textId="01D3BB53" w:rsidR="0053464E" w:rsidRPr="0053464E" w:rsidRDefault="00F33BB8" w:rsidP="00A56E34">
      <w:pPr>
        <w:pStyle w:val="Heading2"/>
      </w:pPr>
      <w:bookmarkStart w:id="21" w:name="_Toc49174688"/>
      <w:r>
        <w:t>1</w:t>
      </w:r>
      <w:r w:rsidR="00A56E34">
        <w:t>.3</w:t>
      </w:r>
      <w:r w:rsidR="00A56E34">
        <w:tab/>
        <w:t>The c</w:t>
      </w:r>
      <w:r w:rsidR="0053464E" w:rsidRPr="0053464E">
        <w:t xml:space="preserve">urrent </w:t>
      </w:r>
      <w:r w:rsidR="00E72650">
        <w:t>s</w:t>
      </w:r>
      <w:r w:rsidR="0053464E" w:rsidRPr="0053464E">
        <w:t>tandard</w:t>
      </w:r>
      <w:bookmarkEnd w:id="19"/>
      <w:bookmarkEnd w:id="20"/>
      <w:bookmarkEnd w:id="21"/>
    </w:p>
    <w:p w14:paraId="65803706" w14:textId="59A9FB68" w:rsidR="0099712F" w:rsidRPr="00B716BE" w:rsidRDefault="0099712F" w:rsidP="00ED0797">
      <w:pPr>
        <w:spacing w:after="240"/>
      </w:pPr>
      <w:r w:rsidRPr="00B716BE">
        <w:t xml:space="preserve">Pre-market approval is necessary before a </w:t>
      </w:r>
      <w:r>
        <w:t>food produced using gene technology</w:t>
      </w:r>
      <w:r w:rsidR="00ED0797">
        <w:t xml:space="preserve"> (GM food)</w:t>
      </w:r>
      <w:r>
        <w:t xml:space="preserve"> can </w:t>
      </w:r>
      <w:r w:rsidRPr="00B716BE">
        <w:t>enter the Australian and New Zealand food supply. GM foods are only approved after a comprehensive pre-market safety assessment. Standard 1.5.2</w:t>
      </w:r>
      <w:r>
        <w:t xml:space="preserve"> </w:t>
      </w:r>
      <w:r w:rsidR="001D6EC8">
        <w:t xml:space="preserve">of the </w:t>
      </w:r>
      <w:r w:rsidR="001D6EC8" w:rsidRPr="00AF37B1">
        <w:rPr>
          <w:color w:val="000000" w:themeColor="text1"/>
          <w:szCs w:val="22"/>
        </w:rPr>
        <w:t>Australia New Zealand Food Standards Code</w:t>
      </w:r>
      <w:r w:rsidR="001D6EC8" w:rsidRPr="006E7F3B">
        <w:rPr>
          <w:color w:val="000000" w:themeColor="text1"/>
          <w:szCs w:val="22"/>
        </w:rPr>
        <w:t xml:space="preserve"> (the Code)</w:t>
      </w:r>
      <w:r w:rsidR="001D6EC8">
        <w:rPr>
          <w:color w:val="000000" w:themeColor="text1"/>
          <w:szCs w:val="22"/>
        </w:rPr>
        <w:t xml:space="preserve"> </w:t>
      </w:r>
      <w:r w:rsidRPr="00B716BE">
        <w:t>sets out the permission and conditions for the sale of food that consists of, or has as an ingredient, a food produced using gene technology. Foods that have been assessed and approved are listed in Schedule 26</w:t>
      </w:r>
      <w:r>
        <w:t xml:space="preserve"> of the </w:t>
      </w:r>
      <w:r w:rsidR="001D6EC8">
        <w:rPr>
          <w:color w:val="000000" w:themeColor="text1"/>
          <w:szCs w:val="22"/>
        </w:rPr>
        <w:t>Code</w:t>
      </w:r>
      <w:r w:rsidRPr="00B716BE">
        <w:t>.</w:t>
      </w:r>
    </w:p>
    <w:p w14:paraId="61CBE732" w14:textId="134F6655" w:rsidR="0099712F" w:rsidRPr="00B716BE" w:rsidRDefault="0099712F" w:rsidP="00ED0797">
      <w:pPr>
        <w:spacing w:after="240"/>
      </w:pPr>
      <w:r w:rsidRPr="0098116C">
        <w:t xml:space="preserve">Section 1.5.2—4 </w:t>
      </w:r>
      <w:r w:rsidR="001D6EC8">
        <w:t xml:space="preserve">of the Code </w:t>
      </w:r>
      <w:r w:rsidRPr="0098116C">
        <w:t xml:space="preserve">requires food to be labelled as ‘genetically modified’ where novel DNA and/or novel protein remains present in the final food. The requirement applies to foods for sale that consist of, or have as an ingredient (including food additives and processing aids from GM sources), food that is a GM food. </w:t>
      </w:r>
      <w:r>
        <w:t>Standard 1.2.1 provides that t</w:t>
      </w:r>
      <w:r w:rsidR="00AE28A2">
        <w:t xml:space="preserve">he requirements imposed by </w:t>
      </w:r>
      <w:r w:rsidR="007B59A8">
        <w:t>section</w:t>
      </w:r>
      <w:r w:rsidRPr="0098116C">
        <w:t xml:space="preserve"> 1.5.2—4 generally apply only to foods for retail sale and to foods sold to a caterer </w:t>
      </w:r>
      <w:r>
        <w:t>- see</w:t>
      </w:r>
      <w:r w:rsidRPr="0098116C">
        <w:t xml:space="preserve"> subsection 1.2.1—8(1)</w:t>
      </w:r>
      <w:r w:rsidR="00AE28A2">
        <w:t xml:space="preserve"> and </w:t>
      </w:r>
      <w:r w:rsidR="007B59A8">
        <w:t>section</w:t>
      </w:r>
      <w:r w:rsidRPr="0098116C">
        <w:t xml:space="preserve"> 1.2.1—15</w:t>
      </w:r>
      <w:r>
        <w:t xml:space="preserve"> respectively.</w:t>
      </w:r>
    </w:p>
    <w:p w14:paraId="64B24382" w14:textId="77777777" w:rsidR="00A55DA7" w:rsidRDefault="00A55DA7">
      <w:pPr>
        <w:widowControl/>
      </w:pPr>
      <w:r>
        <w:br w:type="page"/>
      </w:r>
    </w:p>
    <w:p w14:paraId="2471AB87" w14:textId="7DF615E1" w:rsidR="0099712F" w:rsidRDefault="0099712F" w:rsidP="00ED0797">
      <w:pPr>
        <w:spacing w:after="240"/>
      </w:pPr>
      <w:r w:rsidRPr="00B716BE">
        <w:t>Foods listed in subsections S26—3(2)</w:t>
      </w:r>
      <w:r>
        <w:t>, (2A)</w:t>
      </w:r>
      <w:r w:rsidRPr="00B716BE">
        <w:t xml:space="preserve"> and (3) of Schedule 26 are considered to have an altered characteristic, such as an altered composition or nutritional profile, when compared to the existing counterpart food that is not produced using gene technology. Foods listed </w:t>
      </w:r>
      <w:r w:rsidR="005147EB">
        <w:t xml:space="preserve">in </w:t>
      </w:r>
      <w:r>
        <w:t xml:space="preserve">these </w:t>
      </w:r>
      <w:r w:rsidRPr="00B716BE">
        <w:t>subsections must also be labelled with the words ‘genetically modified’, as well as any other additional labelling required by the Schedule, regardless of the presence of novel DNA or novel protein in the foods.</w:t>
      </w:r>
    </w:p>
    <w:p w14:paraId="7B1C889E" w14:textId="228BFD2E" w:rsidR="0099712F" w:rsidRPr="00A54472" w:rsidRDefault="0099712F" w:rsidP="00ED0797">
      <w:pPr>
        <w:widowControl/>
        <w:spacing w:after="240"/>
        <w:rPr>
          <w:color w:val="000000" w:themeColor="text1"/>
        </w:rPr>
      </w:pPr>
      <w:r w:rsidRPr="00A54472">
        <w:rPr>
          <w:color w:val="000000" w:themeColor="text1"/>
        </w:rPr>
        <w:t xml:space="preserve">The requirement to label food as ‘genetically modified’ does not apply to GM food that: </w:t>
      </w:r>
    </w:p>
    <w:p w14:paraId="10B20E69" w14:textId="46FB438D" w:rsidR="0099712F" w:rsidRPr="00A54472" w:rsidRDefault="0099712F" w:rsidP="0099712F">
      <w:pPr>
        <w:pStyle w:val="FSBullet1"/>
      </w:pPr>
      <w:r w:rsidRPr="00A54472">
        <w:t>has been highly refined (other than food that has been altered), where the effect of the refining process is to remove novel DNA or novel protein</w:t>
      </w:r>
      <w:r w:rsidR="001D6EC8">
        <w:t>;</w:t>
      </w:r>
    </w:p>
    <w:p w14:paraId="19DF931C" w14:textId="7B869848" w:rsidR="0099712F" w:rsidRPr="00A54472" w:rsidRDefault="0099712F" w:rsidP="0099712F">
      <w:pPr>
        <w:pStyle w:val="FSBullet1"/>
      </w:pPr>
      <w:r w:rsidRPr="00A54472">
        <w:t>is a substance used as a processing aid or a food additive, where novel DNA or novel protein from the substance does not remain present in the final food</w:t>
      </w:r>
      <w:r w:rsidR="001D6EC8">
        <w:t>;</w:t>
      </w:r>
    </w:p>
    <w:p w14:paraId="311B5F28" w14:textId="65FD33E4" w:rsidR="0099712F" w:rsidRPr="00A54472" w:rsidRDefault="0099712F" w:rsidP="0099712F">
      <w:pPr>
        <w:pStyle w:val="FSBullet1"/>
      </w:pPr>
      <w:r w:rsidRPr="00A54472">
        <w:t>is a flavouring substance present in the food in a concentration of no more than 1 g/kg (0.1%)</w:t>
      </w:r>
      <w:r w:rsidR="001D6EC8">
        <w:t>;</w:t>
      </w:r>
    </w:p>
    <w:p w14:paraId="021E4E0A" w14:textId="4A671ABC" w:rsidR="0099712F" w:rsidRPr="00A54472" w:rsidRDefault="0099712F" w:rsidP="0099712F">
      <w:pPr>
        <w:pStyle w:val="FSBullet1"/>
      </w:pPr>
      <w:r w:rsidRPr="00A54472">
        <w:t>is intended for immediate consumption and which is prepared and sold from food premises and vending machines, including restaurants, take away outlets, caterers, or self-catering institutions</w:t>
      </w:r>
      <w:r w:rsidR="001D6EC8">
        <w:t>; or</w:t>
      </w:r>
    </w:p>
    <w:p w14:paraId="5FA47434" w14:textId="77777777" w:rsidR="0099712F" w:rsidRPr="00A54472" w:rsidRDefault="0099712F" w:rsidP="00ED0797">
      <w:pPr>
        <w:pStyle w:val="FSBullet1"/>
        <w:spacing w:after="240"/>
      </w:pPr>
      <w:r w:rsidRPr="00A54472">
        <w:t xml:space="preserve">is unintentionally present in the food in an amount of no more than 10 g/kg (or 1%) of each ingredient. </w:t>
      </w:r>
    </w:p>
    <w:p w14:paraId="10648F5F" w14:textId="695C7D7C" w:rsidR="0099712F" w:rsidRDefault="0099712F" w:rsidP="00ED0797">
      <w:pPr>
        <w:widowControl/>
        <w:spacing w:after="240"/>
        <w:rPr>
          <w:color w:val="000000" w:themeColor="text1"/>
        </w:rPr>
      </w:pPr>
      <w:r w:rsidRPr="00A54472">
        <w:rPr>
          <w:color w:val="000000" w:themeColor="text1"/>
        </w:rPr>
        <w:t>If the GM food for sale is not required to bear a label</w:t>
      </w:r>
      <w:r w:rsidR="00AE28A2">
        <w:rPr>
          <w:color w:val="000000" w:themeColor="text1"/>
        </w:rPr>
        <w:t xml:space="preserve">, the labelling information in </w:t>
      </w:r>
      <w:r w:rsidR="007B59A8">
        <w:rPr>
          <w:color w:val="000000" w:themeColor="text1"/>
        </w:rPr>
        <w:t>section</w:t>
      </w:r>
      <w:r w:rsidRPr="00A54472">
        <w:rPr>
          <w:color w:val="000000" w:themeColor="text1"/>
        </w:rPr>
        <w:t xml:space="preserve"> 1.5.2—4 must accompany the food or be displayed in connection with the display of the food (in accordance with subsections 1.2.1—9(2) and (3) of Standard 1.2.1</w:t>
      </w:r>
      <w:r>
        <w:rPr>
          <w:color w:val="000000" w:themeColor="text1"/>
        </w:rPr>
        <w:t xml:space="preserve">). </w:t>
      </w:r>
    </w:p>
    <w:p w14:paraId="6FEC33D4" w14:textId="3F78C70B" w:rsidR="0099712F" w:rsidRPr="00A55DA7" w:rsidRDefault="0099712F" w:rsidP="0099712F">
      <w:r w:rsidRPr="006E502E">
        <w:rPr>
          <w:color w:val="000000" w:themeColor="text1"/>
        </w:rPr>
        <w:t>Subsection 1.1.1—10(8) of Standard 1.1.1 states that food for sale must comply with all relevant labelling requirements imposed by the Code for that food</w:t>
      </w:r>
      <w:r w:rsidRPr="00A55DA7">
        <w:t>.</w:t>
      </w:r>
    </w:p>
    <w:p w14:paraId="1A5F844F" w14:textId="71465DD4" w:rsidR="00AF387F" w:rsidRPr="000B6AF2" w:rsidRDefault="00F33BB8" w:rsidP="00D062E4">
      <w:pPr>
        <w:pStyle w:val="Heading2"/>
        <w:rPr>
          <w:u w:color="FFFF00"/>
        </w:rPr>
      </w:pPr>
      <w:bookmarkStart w:id="22" w:name="_Toc286391007"/>
      <w:bookmarkStart w:id="23" w:name="_Toc300933423"/>
      <w:bookmarkStart w:id="24" w:name="_Toc49174689"/>
      <w:bookmarkStart w:id="25" w:name="_Toc175381432"/>
      <w:r>
        <w:rPr>
          <w:u w:color="FFFF00"/>
        </w:rPr>
        <w:t>1</w:t>
      </w:r>
      <w:r w:rsidR="00606C88">
        <w:rPr>
          <w:u w:color="FFFF00"/>
        </w:rPr>
        <w:t>.4</w:t>
      </w:r>
      <w:r w:rsidR="001542D8">
        <w:rPr>
          <w:u w:color="FFFF00"/>
        </w:rPr>
        <w:tab/>
      </w:r>
      <w:r w:rsidR="00741EFE">
        <w:rPr>
          <w:u w:color="FFFF00"/>
        </w:rPr>
        <w:t xml:space="preserve">Reasons </w:t>
      </w:r>
      <w:r w:rsidR="00741EFE" w:rsidRPr="007F2B85">
        <w:rPr>
          <w:u w:color="FFFF00"/>
        </w:rPr>
        <w:t xml:space="preserve">for accepting </w:t>
      </w:r>
      <w:bookmarkEnd w:id="22"/>
      <w:bookmarkEnd w:id="23"/>
      <w:r w:rsidR="00820AC2">
        <w:rPr>
          <w:u w:color="FFFF00"/>
        </w:rPr>
        <w:t>a</w:t>
      </w:r>
      <w:r w:rsidR="00820AC2" w:rsidRPr="007F2B85">
        <w:rPr>
          <w:u w:color="FFFF00"/>
        </w:rPr>
        <w:t>pplication</w:t>
      </w:r>
      <w:bookmarkEnd w:id="24"/>
      <w:r w:rsidR="00820AC2" w:rsidRPr="007F2B85">
        <w:rPr>
          <w:u w:color="FFFF00"/>
        </w:rPr>
        <w:t xml:space="preserve"> </w:t>
      </w:r>
    </w:p>
    <w:p w14:paraId="3BB407E1" w14:textId="4DEE2EFC" w:rsidR="007F2B85" w:rsidRDefault="007F2B85" w:rsidP="00ED0797">
      <w:pPr>
        <w:spacing w:after="240"/>
      </w:pPr>
      <w:bookmarkStart w:id="26" w:name="_Toc286391008"/>
      <w:bookmarkStart w:id="27" w:name="_Toc11735630"/>
      <w:bookmarkStart w:id="28" w:name="_Toc29883114"/>
      <w:bookmarkStart w:id="29" w:name="_Toc41906801"/>
      <w:bookmarkStart w:id="30" w:name="_Toc41907548"/>
      <w:bookmarkStart w:id="31" w:name="_Toc120358578"/>
      <w:bookmarkStart w:id="32" w:name="_Toc175381435"/>
      <w:bookmarkEnd w:id="5"/>
      <w:bookmarkEnd w:id="6"/>
      <w:bookmarkEnd w:id="7"/>
      <w:bookmarkEnd w:id="8"/>
      <w:bookmarkEnd w:id="9"/>
      <w:bookmarkEnd w:id="25"/>
      <w:r>
        <w:t xml:space="preserve">The </w:t>
      </w:r>
      <w:r w:rsidR="007F4E4E">
        <w:t xml:space="preserve">application </w:t>
      </w:r>
      <w:r>
        <w:t>was accepted for assessment because:</w:t>
      </w:r>
    </w:p>
    <w:p w14:paraId="670CABF4" w14:textId="77777777" w:rsidR="007F2B85" w:rsidRDefault="007F2B85" w:rsidP="007F2B85">
      <w:pPr>
        <w:pStyle w:val="FSBullet1"/>
        <w:numPr>
          <w:ilvl w:val="0"/>
          <w:numId w:val="9"/>
        </w:numPr>
        <w:ind w:left="567" w:hanging="567"/>
        <w:rPr>
          <w:color w:val="000000" w:themeColor="text1"/>
        </w:rPr>
      </w:pPr>
      <w:r>
        <w:rPr>
          <w:color w:val="000000" w:themeColor="text1"/>
        </w:rPr>
        <w:t>it complied with the procedural requirements under subsection 22(2) of the FSANZ Act</w:t>
      </w:r>
    </w:p>
    <w:p w14:paraId="6C2D9983" w14:textId="77777777" w:rsidR="007F2B85" w:rsidRDefault="007F2B85" w:rsidP="007F2B85">
      <w:pPr>
        <w:pStyle w:val="FSBullet1"/>
        <w:numPr>
          <w:ilvl w:val="0"/>
          <w:numId w:val="9"/>
        </w:numPr>
        <w:ind w:left="567" w:hanging="567"/>
        <w:rPr>
          <w:color w:val="000000" w:themeColor="text1"/>
        </w:rPr>
      </w:pPr>
      <w:r>
        <w:rPr>
          <w:color w:val="000000" w:themeColor="text1"/>
        </w:rPr>
        <w:t>it related to a matter that warranted the variation of a food regulatory measure</w:t>
      </w:r>
    </w:p>
    <w:p w14:paraId="2C6729AE" w14:textId="77777777" w:rsidR="007F2B85" w:rsidRDefault="007F2B85" w:rsidP="007F2B85">
      <w:pPr>
        <w:pStyle w:val="FSBullet1"/>
        <w:numPr>
          <w:ilvl w:val="0"/>
          <w:numId w:val="10"/>
        </w:numPr>
        <w:ind w:left="567" w:hanging="567"/>
        <w:rPr>
          <w:color w:val="000000" w:themeColor="text1"/>
        </w:rPr>
      </w:pPr>
      <w:r>
        <w:rPr>
          <w:color w:val="000000" w:themeColor="text1"/>
        </w:rPr>
        <w:t>it was not so similar to a previous Application for the variation of a food regulatory measure that it ought to be rejected.</w:t>
      </w:r>
    </w:p>
    <w:p w14:paraId="2A9614B5" w14:textId="77777777" w:rsidR="00DE79D9" w:rsidRDefault="00D3171B" w:rsidP="00DE79D9">
      <w:pPr>
        <w:pStyle w:val="Heading2"/>
      </w:pPr>
      <w:bookmarkStart w:id="33" w:name="_Toc49174690"/>
      <w:r>
        <w:t>1</w:t>
      </w:r>
      <w:r w:rsidR="00606C88">
        <w:t>.5</w:t>
      </w:r>
      <w:r w:rsidR="00DE79D9">
        <w:tab/>
        <w:t>Procedure for assessment</w:t>
      </w:r>
      <w:bookmarkEnd w:id="33"/>
    </w:p>
    <w:p w14:paraId="7F0B87E5" w14:textId="67272AE1" w:rsidR="008502BC" w:rsidRDefault="007F2B85" w:rsidP="00ED0797">
      <w:pPr>
        <w:spacing w:after="240"/>
      </w:pPr>
      <w:r>
        <w:t xml:space="preserve">The Application </w:t>
      </w:r>
      <w:r w:rsidR="00681B2A">
        <w:t>was</w:t>
      </w:r>
      <w:r>
        <w:t xml:space="preserve"> assessed under the </w:t>
      </w:r>
      <w:r w:rsidRPr="00313702">
        <w:t xml:space="preserve">General </w:t>
      </w:r>
      <w:r>
        <w:t>Procedure.</w:t>
      </w:r>
    </w:p>
    <w:p w14:paraId="5CB23DC1" w14:textId="77777777" w:rsidR="007D3347" w:rsidRDefault="007D3347" w:rsidP="007D3347">
      <w:pPr>
        <w:pStyle w:val="Heading2"/>
      </w:pPr>
      <w:bookmarkStart w:id="34" w:name="_Toc499288457"/>
      <w:bookmarkStart w:id="35" w:name="_Toc42769722"/>
      <w:bookmarkStart w:id="36" w:name="_Toc49174691"/>
      <w:r>
        <w:t>1.6</w:t>
      </w:r>
      <w:r>
        <w:tab/>
      </w:r>
      <w:r w:rsidRPr="00932F14">
        <w:t>Decision</w:t>
      </w:r>
      <w:bookmarkEnd w:id="34"/>
      <w:bookmarkEnd w:id="35"/>
      <w:bookmarkEnd w:id="36"/>
    </w:p>
    <w:p w14:paraId="3CF80834" w14:textId="77777777" w:rsidR="007D3347" w:rsidRDefault="007D3347" w:rsidP="007D3347">
      <w:r w:rsidRPr="00C23865">
        <w:t xml:space="preserve">The draft variation as proposed following assessment was approved without change. The variation takes effect on </w:t>
      </w:r>
      <w:r>
        <w:t xml:space="preserve">the date of </w:t>
      </w:r>
      <w:r w:rsidRPr="00C23865">
        <w:t>g</w:t>
      </w:r>
      <w:r>
        <w:t>az</w:t>
      </w:r>
      <w:r w:rsidRPr="00C23865">
        <w:t>ettal.</w:t>
      </w:r>
      <w:r>
        <w:t xml:space="preserve"> </w:t>
      </w:r>
      <w:r w:rsidRPr="00C23865">
        <w:t>The approved draft variation is at Attachment A</w:t>
      </w:r>
      <w:r w:rsidRPr="007C22CB">
        <w:t xml:space="preserve">. </w:t>
      </w:r>
    </w:p>
    <w:p w14:paraId="125F8CBC" w14:textId="77777777" w:rsidR="007D3347" w:rsidRDefault="007D3347" w:rsidP="007D3347"/>
    <w:p w14:paraId="2BB75A07" w14:textId="502548D8" w:rsidR="007D3347" w:rsidRDefault="007D3347" w:rsidP="007D3347">
      <w:r>
        <w:t xml:space="preserve">The related explanatory statement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 xml:space="preserve">on. </w:t>
      </w:r>
    </w:p>
    <w:p w14:paraId="416861CF" w14:textId="760EFB1C" w:rsidR="007D3347" w:rsidRPr="00D062E4" w:rsidRDefault="007D3347" w:rsidP="007D3347">
      <w:pPr>
        <w:widowControl/>
      </w:pPr>
      <w:r>
        <w:br w:type="page"/>
      </w:r>
    </w:p>
    <w:p w14:paraId="6ACA775D" w14:textId="53234EE2" w:rsidR="00AF387F" w:rsidRDefault="00D3171B" w:rsidP="00180C41">
      <w:pPr>
        <w:pStyle w:val="Heading1"/>
      </w:pPr>
      <w:bookmarkStart w:id="37" w:name="_Toc300933424"/>
      <w:bookmarkStart w:id="38" w:name="_Toc49174692"/>
      <w:r>
        <w:t>2</w:t>
      </w:r>
      <w:r w:rsidR="001542D8">
        <w:tab/>
      </w:r>
      <w:r w:rsidR="00350DBD">
        <w:t>S</w:t>
      </w:r>
      <w:r w:rsidR="00FB1533">
        <w:t>ummary of the a</w:t>
      </w:r>
      <w:r w:rsidR="00FD2FBE">
        <w:t>ssessment</w:t>
      </w:r>
      <w:bookmarkEnd w:id="26"/>
      <w:bookmarkEnd w:id="37"/>
      <w:bookmarkEnd w:id="38"/>
    </w:p>
    <w:p w14:paraId="4CF2E464" w14:textId="77777777" w:rsidR="007D3347" w:rsidRDefault="007D3347" w:rsidP="007D3347">
      <w:pPr>
        <w:pStyle w:val="Heading2"/>
      </w:pPr>
      <w:bookmarkStart w:id="39" w:name="_Toc300933438"/>
      <w:bookmarkStart w:id="40" w:name="_Toc370223471"/>
      <w:bookmarkStart w:id="41" w:name="_Toc370225386"/>
      <w:bookmarkStart w:id="42" w:name="_Toc41314096"/>
      <w:bookmarkStart w:id="43" w:name="_Toc42769724"/>
      <w:bookmarkStart w:id="44" w:name="_Toc49174693"/>
      <w:bookmarkStart w:id="45" w:name="_Toc309291838"/>
      <w:bookmarkStart w:id="46" w:name="_Toc309385455"/>
      <w:r w:rsidRPr="00C655BA">
        <w:t>2.1</w:t>
      </w:r>
      <w:r w:rsidRPr="00C655BA">
        <w:tab/>
        <w:t xml:space="preserve">Summary of issues raised </w:t>
      </w:r>
      <w:bookmarkEnd w:id="39"/>
      <w:r w:rsidRPr="00C655BA">
        <w:t>in submissions</w:t>
      </w:r>
      <w:bookmarkEnd w:id="40"/>
      <w:bookmarkEnd w:id="41"/>
      <w:bookmarkEnd w:id="42"/>
      <w:bookmarkEnd w:id="43"/>
      <w:bookmarkEnd w:id="44"/>
    </w:p>
    <w:bookmarkEnd w:id="45"/>
    <w:bookmarkEnd w:id="46"/>
    <w:p w14:paraId="0C960600" w14:textId="0AB76C9E" w:rsidR="007D3347" w:rsidRDefault="007D3347" w:rsidP="007D3347">
      <w:pPr>
        <w:rPr>
          <w:lang w:bidi="ar-SA"/>
        </w:rPr>
      </w:pPr>
      <w:r w:rsidRPr="00C655BA">
        <w:rPr>
          <w:lang w:bidi="ar-SA"/>
        </w:rPr>
        <w:t xml:space="preserve">FSANZ called for submissions </w:t>
      </w:r>
      <w:r w:rsidR="00640C12">
        <w:rPr>
          <w:lang w:bidi="ar-SA"/>
        </w:rPr>
        <w:t xml:space="preserve">(CFS) </w:t>
      </w:r>
      <w:r w:rsidRPr="00C655BA">
        <w:rPr>
          <w:lang w:bidi="ar-SA"/>
        </w:rPr>
        <w:t xml:space="preserve">on a proposed draft variation on </w:t>
      </w:r>
      <w:r w:rsidR="001E2FCD">
        <w:rPr>
          <w:szCs w:val="20"/>
        </w:rPr>
        <w:t>22 May</w:t>
      </w:r>
      <w:r w:rsidRPr="003C01E7">
        <w:rPr>
          <w:szCs w:val="20"/>
        </w:rPr>
        <w:t xml:space="preserve"> 2020</w:t>
      </w:r>
      <w:r w:rsidRPr="00C655BA">
        <w:rPr>
          <w:lang w:bidi="ar-SA"/>
        </w:rPr>
        <w:t xml:space="preserve">. </w:t>
      </w:r>
    </w:p>
    <w:p w14:paraId="29B1264F" w14:textId="76E5CBF0" w:rsidR="001E2FCD" w:rsidRDefault="001E2FCD" w:rsidP="007D3347">
      <w:pPr>
        <w:rPr>
          <w:lang w:bidi="ar-SA"/>
        </w:rPr>
      </w:pPr>
    </w:p>
    <w:p w14:paraId="6F05E09F" w14:textId="496EBA30" w:rsidR="00015FFF" w:rsidRDefault="001E2FCD" w:rsidP="00457F9A">
      <w:pPr>
        <w:rPr>
          <w:color w:val="000000" w:themeColor="text1"/>
          <w:lang w:bidi="ar-SA"/>
        </w:rPr>
      </w:pPr>
      <w:r w:rsidRPr="00040341">
        <w:rPr>
          <w:color w:val="000000" w:themeColor="text1"/>
          <w:lang w:bidi="ar-SA"/>
        </w:rPr>
        <w:t>A total of</w:t>
      </w:r>
      <w:r w:rsidR="00015FFF">
        <w:rPr>
          <w:color w:val="FF0000"/>
          <w:lang w:bidi="ar-SA"/>
        </w:rPr>
        <w:t xml:space="preserve"> </w:t>
      </w:r>
      <w:r w:rsidR="008E5AAD">
        <w:rPr>
          <w:lang w:bidi="ar-SA"/>
        </w:rPr>
        <w:t>eight</w:t>
      </w:r>
      <w:r w:rsidR="00C46092" w:rsidRPr="00C46092">
        <w:rPr>
          <w:lang w:bidi="ar-SA"/>
        </w:rPr>
        <w:t xml:space="preserve"> </w:t>
      </w:r>
      <w:r w:rsidRPr="00C46092">
        <w:rPr>
          <w:lang w:bidi="ar-SA"/>
        </w:rPr>
        <w:t xml:space="preserve">submissions </w:t>
      </w:r>
      <w:r w:rsidR="00A91429">
        <w:rPr>
          <w:lang w:bidi="ar-SA"/>
        </w:rPr>
        <w:t xml:space="preserve">and one </w:t>
      </w:r>
      <w:r w:rsidR="00A91429" w:rsidRPr="00015FFF">
        <w:rPr>
          <w:i/>
          <w:color w:val="000000" w:themeColor="text1"/>
        </w:rPr>
        <w:t>Late Comment</w:t>
      </w:r>
      <w:r w:rsidR="00A91429">
        <w:rPr>
          <w:color w:val="000000" w:themeColor="text1"/>
        </w:rPr>
        <w:t xml:space="preserve"> </w:t>
      </w:r>
      <w:r w:rsidRPr="00C46092">
        <w:rPr>
          <w:lang w:bidi="ar-SA"/>
        </w:rPr>
        <w:t>were received</w:t>
      </w:r>
      <w:r w:rsidR="00A91429">
        <w:rPr>
          <w:lang w:bidi="ar-SA"/>
        </w:rPr>
        <w:t>,</w:t>
      </w:r>
      <w:r w:rsidRPr="00C46092">
        <w:rPr>
          <w:lang w:bidi="ar-SA"/>
        </w:rPr>
        <w:t xml:space="preserve"> of which </w:t>
      </w:r>
      <w:r w:rsidR="008E5AAD">
        <w:rPr>
          <w:lang w:bidi="ar-SA"/>
        </w:rPr>
        <w:t>five</w:t>
      </w:r>
      <w:r w:rsidRPr="00C46092">
        <w:rPr>
          <w:lang w:bidi="ar-SA"/>
        </w:rPr>
        <w:t xml:space="preserve"> were </w:t>
      </w:r>
      <w:r w:rsidRPr="00040341">
        <w:rPr>
          <w:color w:val="000000" w:themeColor="text1"/>
          <w:lang w:bidi="ar-SA"/>
        </w:rPr>
        <w:t>opposed to the proposed draft variation to Schedule 26.</w:t>
      </w:r>
      <w:r w:rsidR="006073AC">
        <w:rPr>
          <w:color w:val="000000" w:themeColor="text1"/>
          <w:lang w:bidi="ar-SA"/>
        </w:rPr>
        <w:t xml:space="preserve"> </w:t>
      </w:r>
      <w:r w:rsidR="00457F9A">
        <w:rPr>
          <w:color w:val="000000" w:themeColor="text1"/>
          <w:lang w:bidi="ar-SA"/>
        </w:rPr>
        <w:t>This includes a joint submission by</w:t>
      </w:r>
      <w:r w:rsidR="00457F9A" w:rsidRPr="00D16FC8">
        <w:t xml:space="preserve"> </w:t>
      </w:r>
      <w:r w:rsidR="00457F9A" w:rsidRPr="00D16FC8">
        <w:rPr>
          <w:color w:val="000000" w:themeColor="text1"/>
          <w:lang w:bidi="ar-SA"/>
        </w:rPr>
        <w:t>Gene Ethics, Australian Food Sovereignty Alliance</w:t>
      </w:r>
      <w:r w:rsidR="00457F9A">
        <w:rPr>
          <w:color w:val="000000" w:themeColor="text1"/>
          <w:lang w:bidi="ar-SA"/>
        </w:rPr>
        <w:t xml:space="preserve"> (AFSG)</w:t>
      </w:r>
      <w:r w:rsidR="00457F9A" w:rsidRPr="00D16FC8">
        <w:rPr>
          <w:color w:val="000000" w:themeColor="text1"/>
          <w:lang w:bidi="ar-SA"/>
        </w:rPr>
        <w:t>, Pure Harvest Organic Foods, GE Free NZ, Auckland GE Free Coalition, GE Free Northland, Slow Food in Australia, FOODwatch, South Australian Genetic Food Information Network (SAGFIN), Sustainable Agriculture &amp; Communities Alliance (SACA)</w:t>
      </w:r>
      <w:r w:rsidR="00457F9A">
        <w:rPr>
          <w:color w:val="000000" w:themeColor="text1"/>
          <w:lang w:bidi="ar-SA"/>
        </w:rPr>
        <w:t>.</w:t>
      </w:r>
      <w:r w:rsidR="00457F9A" w:rsidRPr="00D16FC8">
        <w:rPr>
          <w:color w:val="000000" w:themeColor="text1"/>
          <w:lang w:bidi="ar-SA"/>
        </w:rPr>
        <w:t xml:space="preserve"> </w:t>
      </w:r>
      <w:r w:rsidR="00457F9A">
        <w:rPr>
          <w:color w:val="000000" w:themeColor="text1"/>
          <w:lang w:bidi="ar-SA"/>
        </w:rPr>
        <w:t>AFSG</w:t>
      </w:r>
      <w:r w:rsidR="00A91429">
        <w:rPr>
          <w:color w:val="000000" w:themeColor="text1"/>
          <w:lang w:bidi="ar-SA"/>
        </w:rPr>
        <w:t xml:space="preserve"> and SACA</w:t>
      </w:r>
      <w:r w:rsidR="00457F9A">
        <w:rPr>
          <w:color w:val="000000" w:themeColor="text1"/>
          <w:lang w:bidi="ar-SA"/>
        </w:rPr>
        <w:t>, who participated in the j</w:t>
      </w:r>
      <w:r w:rsidR="00A91429">
        <w:rPr>
          <w:color w:val="000000" w:themeColor="text1"/>
          <w:lang w:bidi="ar-SA"/>
        </w:rPr>
        <w:t>oint submission, both provided</w:t>
      </w:r>
      <w:r w:rsidR="00457F9A">
        <w:rPr>
          <w:color w:val="000000" w:themeColor="text1"/>
          <w:lang w:bidi="ar-SA"/>
        </w:rPr>
        <w:t xml:space="preserve"> second submission</w:t>
      </w:r>
      <w:r w:rsidR="00A91429">
        <w:rPr>
          <w:color w:val="000000" w:themeColor="text1"/>
          <w:lang w:bidi="ar-SA"/>
        </w:rPr>
        <w:t>s</w:t>
      </w:r>
      <w:r w:rsidR="008E5AAD">
        <w:rPr>
          <w:color w:val="000000" w:themeColor="text1"/>
          <w:lang w:bidi="ar-SA"/>
        </w:rPr>
        <w:t>.</w:t>
      </w:r>
      <w:r w:rsidR="00A91429">
        <w:rPr>
          <w:color w:val="000000" w:themeColor="text1"/>
          <w:lang w:bidi="ar-SA"/>
        </w:rPr>
        <w:t xml:space="preserve"> </w:t>
      </w:r>
      <w:r w:rsidR="008E5AAD">
        <w:rPr>
          <w:color w:val="000000" w:themeColor="text1"/>
          <w:lang w:bidi="ar-SA"/>
        </w:rPr>
        <w:t>H</w:t>
      </w:r>
      <w:r w:rsidR="00A91429">
        <w:rPr>
          <w:color w:val="000000" w:themeColor="text1"/>
          <w:lang w:bidi="ar-SA"/>
        </w:rPr>
        <w:t>owever</w:t>
      </w:r>
      <w:r w:rsidR="008E5AAD">
        <w:rPr>
          <w:color w:val="000000" w:themeColor="text1"/>
          <w:lang w:bidi="ar-SA"/>
        </w:rPr>
        <w:t>,</w:t>
      </w:r>
      <w:r w:rsidR="00A91429">
        <w:rPr>
          <w:color w:val="000000" w:themeColor="text1"/>
          <w:lang w:bidi="ar-SA"/>
        </w:rPr>
        <w:t xml:space="preserve"> the SACA submission</w:t>
      </w:r>
      <w:r w:rsidR="00A91429">
        <w:rPr>
          <w:color w:val="000000" w:themeColor="text1"/>
        </w:rPr>
        <w:t xml:space="preserve"> </w:t>
      </w:r>
      <w:r w:rsidR="00457F9A">
        <w:rPr>
          <w:color w:val="000000" w:themeColor="text1"/>
        </w:rPr>
        <w:t xml:space="preserve">was received </w:t>
      </w:r>
      <w:r w:rsidR="00015FFF">
        <w:rPr>
          <w:color w:val="000000" w:themeColor="text1"/>
        </w:rPr>
        <w:t xml:space="preserve">outside </w:t>
      </w:r>
      <w:r w:rsidR="008E5AAD">
        <w:rPr>
          <w:color w:val="000000" w:themeColor="text1"/>
        </w:rPr>
        <w:t xml:space="preserve">of </w:t>
      </w:r>
      <w:r w:rsidR="00015FFF">
        <w:rPr>
          <w:color w:val="000000" w:themeColor="text1"/>
        </w:rPr>
        <w:t>the CFS ti</w:t>
      </w:r>
      <w:r w:rsidR="00A91429">
        <w:rPr>
          <w:color w:val="000000" w:themeColor="text1"/>
        </w:rPr>
        <w:t xml:space="preserve">meframe </w:t>
      </w:r>
      <w:r w:rsidR="00C71E1D">
        <w:rPr>
          <w:color w:val="000000" w:themeColor="text1"/>
        </w:rPr>
        <w:t>a</w:t>
      </w:r>
      <w:r w:rsidR="008E5AAD">
        <w:rPr>
          <w:color w:val="000000" w:themeColor="text1"/>
        </w:rPr>
        <w:t xml:space="preserve">nd </w:t>
      </w:r>
      <w:r w:rsidR="00A91429">
        <w:rPr>
          <w:color w:val="000000" w:themeColor="text1"/>
        </w:rPr>
        <w:t xml:space="preserve">FSANZ has accepted </w:t>
      </w:r>
      <w:r w:rsidR="008E5AAD">
        <w:rPr>
          <w:color w:val="000000" w:themeColor="text1"/>
        </w:rPr>
        <w:t xml:space="preserve">it </w:t>
      </w:r>
      <w:r w:rsidR="00015FFF">
        <w:rPr>
          <w:color w:val="000000" w:themeColor="text1"/>
        </w:rPr>
        <w:t xml:space="preserve">as a </w:t>
      </w:r>
      <w:r w:rsidR="00015FFF" w:rsidRPr="00015FFF">
        <w:rPr>
          <w:i/>
          <w:color w:val="000000" w:themeColor="text1"/>
        </w:rPr>
        <w:t>Late Comment</w:t>
      </w:r>
      <w:r w:rsidR="007705AE">
        <w:rPr>
          <w:i/>
          <w:color w:val="000000" w:themeColor="text1"/>
        </w:rPr>
        <w:t xml:space="preserve">. </w:t>
      </w:r>
      <w:r w:rsidR="00015FFF">
        <w:rPr>
          <w:color w:val="000000" w:themeColor="text1"/>
        </w:rPr>
        <w:t xml:space="preserve"> </w:t>
      </w:r>
    </w:p>
    <w:p w14:paraId="48515FAA" w14:textId="579E0184" w:rsidR="004D1A7F" w:rsidRDefault="004D1A7F" w:rsidP="007D3347">
      <w:pPr>
        <w:rPr>
          <w:color w:val="000000" w:themeColor="text1"/>
          <w:lang w:bidi="ar-SA"/>
        </w:rPr>
      </w:pPr>
    </w:p>
    <w:p w14:paraId="258AFAA8" w14:textId="61B28050" w:rsidR="00856A5B" w:rsidRPr="00856A5B" w:rsidRDefault="00856A5B" w:rsidP="00856A5B">
      <w:pPr>
        <w:rPr>
          <w:color w:val="000000" w:themeColor="text1"/>
          <w:lang w:bidi="ar-SA"/>
        </w:rPr>
      </w:pPr>
      <w:r>
        <w:rPr>
          <w:color w:val="000000" w:themeColor="text1"/>
          <w:lang w:bidi="ar-SA"/>
        </w:rPr>
        <w:t>The submitters that supported the proposed draft variation include t</w:t>
      </w:r>
      <w:r w:rsidR="004D1A7F" w:rsidRPr="00856A5B">
        <w:rPr>
          <w:color w:val="000000" w:themeColor="text1"/>
          <w:lang w:bidi="ar-SA"/>
        </w:rPr>
        <w:t>he Victorian Department of Health and Human Services</w:t>
      </w:r>
      <w:r>
        <w:rPr>
          <w:color w:val="000000" w:themeColor="text1"/>
          <w:lang w:bidi="ar-SA"/>
        </w:rPr>
        <w:t xml:space="preserve"> (DHHS)</w:t>
      </w:r>
      <w:r w:rsidR="004D1A7F" w:rsidRPr="00856A5B">
        <w:rPr>
          <w:color w:val="000000" w:themeColor="text1"/>
          <w:lang w:bidi="ar-SA"/>
        </w:rPr>
        <w:t xml:space="preserve"> and the Victorian Department of Jobs, Precincts and Regions</w:t>
      </w:r>
      <w:r>
        <w:rPr>
          <w:color w:val="000000" w:themeColor="text1"/>
          <w:lang w:bidi="ar-SA"/>
        </w:rPr>
        <w:t xml:space="preserve"> (DJPR)</w:t>
      </w:r>
      <w:r w:rsidR="004D1A7F" w:rsidRPr="00856A5B">
        <w:rPr>
          <w:color w:val="000000" w:themeColor="text1"/>
          <w:lang w:bidi="ar-SA"/>
        </w:rPr>
        <w:t>, New Zealand Food Safety (NZFS), New Zealand Food and Groceries Council (NZFGC) and RJR Agricultural Consultants.</w:t>
      </w:r>
      <w:r>
        <w:rPr>
          <w:color w:val="000000" w:themeColor="text1"/>
          <w:lang w:bidi="ar-SA"/>
        </w:rPr>
        <w:t xml:space="preserve"> In their submission</w:t>
      </w:r>
      <w:r w:rsidR="001824C4">
        <w:rPr>
          <w:color w:val="000000" w:themeColor="text1"/>
          <w:lang w:bidi="ar-SA"/>
        </w:rPr>
        <w:t>,</w:t>
      </w:r>
      <w:r w:rsidR="004D1A7F" w:rsidRPr="00856A5B">
        <w:rPr>
          <w:color w:val="000000" w:themeColor="text1"/>
          <w:lang w:bidi="ar-SA"/>
        </w:rPr>
        <w:t xml:space="preserve"> NZFS </w:t>
      </w:r>
      <w:r w:rsidRPr="00856A5B">
        <w:rPr>
          <w:color w:val="000000" w:themeColor="text1"/>
          <w:lang w:bidi="ar-SA"/>
        </w:rPr>
        <w:t>noted</w:t>
      </w:r>
      <w:r w:rsidR="004D1A7F" w:rsidRPr="00856A5B">
        <w:rPr>
          <w:color w:val="000000" w:themeColor="text1"/>
          <w:lang w:bidi="ar-SA"/>
        </w:rPr>
        <w:t xml:space="preserve"> that the concentration and structure of the actual VNT1 protein in </w:t>
      </w:r>
      <w:r w:rsidR="00820AC2">
        <w:rPr>
          <w:color w:val="000000" w:themeColor="text1"/>
          <w:lang w:bidi="ar-SA"/>
        </w:rPr>
        <w:t xml:space="preserve">lines </w:t>
      </w:r>
      <w:r w:rsidR="004D1A7F" w:rsidRPr="00856A5B">
        <w:rPr>
          <w:color w:val="000000" w:themeColor="text1"/>
          <w:lang w:bidi="ar-SA"/>
        </w:rPr>
        <w:t xml:space="preserve">V11 and Z6 was not assessed, but the weight of </w:t>
      </w:r>
      <w:r w:rsidRPr="00856A5B">
        <w:rPr>
          <w:color w:val="000000" w:themeColor="text1"/>
          <w:lang w:bidi="ar-SA"/>
        </w:rPr>
        <w:t>evidence</w:t>
      </w:r>
      <w:r w:rsidR="004D1A7F" w:rsidRPr="00856A5B">
        <w:rPr>
          <w:color w:val="000000" w:themeColor="text1"/>
          <w:lang w:bidi="ar-SA"/>
        </w:rPr>
        <w:t xml:space="preserve"> </w:t>
      </w:r>
      <w:r w:rsidRPr="00856A5B">
        <w:rPr>
          <w:color w:val="000000" w:themeColor="text1"/>
          <w:lang w:bidi="ar-SA"/>
        </w:rPr>
        <w:t xml:space="preserve">(potato phenotype, homology with proteins in the food supply, history of safe consumption, low levels of VNT1) suggest that VNT1 in potato products is unlikely to be a cause for concern. FSANZ </w:t>
      </w:r>
      <w:r w:rsidR="007705AE">
        <w:rPr>
          <w:color w:val="000000" w:themeColor="text1"/>
          <w:lang w:bidi="ar-SA"/>
        </w:rPr>
        <w:t>notes</w:t>
      </w:r>
      <w:r w:rsidRPr="00856A5B">
        <w:rPr>
          <w:color w:val="000000" w:themeColor="text1"/>
          <w:lang w:bidi="ar-SA"/>
        </w:rPr>
        <w:t xml:space="preserve"> the VNT1 protein has been considered by FSANZ in a previous safety assessment (A1139; FSANZ, 2017)</w:t>
      </w:r>
      <w:r w:rsidR="001824C4">
        <w:rPr>
          <w:color w:val="000000" w:themeColor="text1"/>
          <w:lang w:bidi="ar-SA"/>
        </w:rPr>
        <w:t>;</w:t>
      </w:r>
      <w:r w:rsidRPr="00856A5B">
        <w:rPr>
          <w:color w:val="000000" w:themeColor="text1"/>
          <w:lang w:bidi="ar-SA"/>
        </w:rPr>
        <w:t xml:space="preserve"> and </w:t>
      </w:r>
      <w:r w:rsidR="001824C4">
        <w:rPr>
          <w:color w:val="000000" w:themeColor="text1"/>
          <w:lang w:bidi="ar-SA"/>
        </w:rPr>
        <w:t xml:space="preserve">the applicant provided </w:t>
      </w:r>
      <w:r w:rsidR="00042413">
        <w:rPr>
          <w:color w:val="000000" w:themeColor="text1"/>
          <w:lang w:bidi="ar-SA"/>
        </w:rPr>
        <w:t xml:space="preserve">an </w:t>
      </w:r>
      <w:r w:rsidRPr="00856A5B">
        <w:rPr>
          <w:color w:val="000000" w:themeColor="text1"/>
          <w:lang w:bidi="ar-SA"/>
        </w:rPr>
        <w:t xml:space="preserve">updated bioinformatic </w:t>
      </w:r>
      <w:r w:rsidR="00042413">
        <w:rPr>
          <w:color w:val="000000" w:themeColor="text1"/>
          <w:lang w:bidi="ar-SA"/>
        </w:rPr>
        <w:t>analysis</w:t>
      </w:r>
      <w:r w:rsidRPr="00856A5B">
        <w:rPr>
          <w:color w:val="000000" w:themeColor="text1"/>
          <w:lang w:bidi="ar-SA"/>
        </w:rPr>
        <w:t xml:space="preserve"> examining allergenicity and toxicity </w:t>
      </w:r>
      <w:r w:rsidR="00042413">
        <w:rPr>
          <w:color w:val="000000" w:themeColor="text1"/>
          <w:lang w:bidi="ar-SA"/>
        </w:rPr>
        <w:t>(as required by the FSANZ application handbook</w:t>
      </w:r>
      <w:r w:rsidR="00042413">
        <w:rPr>
          <w:rStyle w:val="FootnoteReference"/>
          <w:color w:val="000000" w:themeColor="text1"/>
          <w:lang w:bidi="ar-SA"/>
        </w:rPr>
        <w:footnoteReference w:id="3"/>
      </w:r>
      <w:r w:rsidR="00042413">
        <w:rPr>
          <w:color w:val="000000" w:themeColor="text1"/>
          <w:lang w:bidi="ar-SA"/>
        </w:rPr>
        <w:t>)</w:t>
      </w:r>
      <w:r w:rsidRPr="00856A5B">
        <w:rPr>
          <w:color w:val="000000" w:themeColor="text1"/>
          <w:lang w:bidi="ar-SA"/>
        </w:rPr>
        <w:t xml:space="preserve">. </w:t>
      </w:r>
      <w:r w:rsidR="001824C4">
        <w:rPr>
          <w:color w:val="000000" w:themeColor="text1"/>
          <w:lang w:bidi="ar-SA"/>
        </w:rPr>
        <w:t>The updated information</w:t>
      </w:r>
      <w:r w:rsidRPr="00856A5B">
        <w:rPr>
          <w:color w:val="000000" w:themeColor="text1"/>
          <w:lang w:bidi="ar-SA"/>
        </w:rPr>
        <w:t xml:space="preserve"> do</w:t>
      </w:r>
      <w:r w:rsidR="001824C4">
        <w:rPr>
          <w:color w:val="000000" w:themeColor="text1"/>
          <w:lang w:bidi="ar-SA"/>
        </w:rPr>
        <w:t>es</w:t>
      </w:r>
      <w:r w:rsidRPr="00856A5B">
        <w:rPr>
          <w:color w:val="000000" w:themeColor="text1"/>
          <w:lang w:bidi="ar-SA"/>
        </w:rPr>
        <w:t xml:space="preserve"> not alter conclusions reached in the previous assessment undertaken for A1139.</w:t>
      </w:r>
    </w:p>
    <w:p w14:paraId="1DD9B3A4" w14:textId="1960A60F" w:rsidR="004D1A7F" w:rsidRPr="004D1A7F" w:rsidRDefault="004D1A7F" w:rsidP="004D1A7F">
      <w:pPr>
        <w:widowControl/>
        <w:rPr>
          <w:rFonts w:ascii="Calibri" w:hAnsi="Calibri" w:cs="Calibri"/>
          <w:color w:val="000000"/>
          <w:szCs w:val="22"/>
          <w:lang w:eastAsia="en-GB" w:bidi="ar-SA"/>
        </w:rPr>
      </w:pPr>
    </w:p>
    <w:p w14:paraId="3B4F706D" w14:textId="295820C8" w:rsidR="006073AC" w:rsidRDefault="006073AC" w:rsidP="006073AC">
      <w:pPr>
        <w:rPr>
          <w:color w:val="000000" w:themeColor="text1"/>
        </w:rPr>
      </w:pPr>
      <w:r w:rsidRPr="00040341">
        <w:rPr>
          <w:color w:val="000000" w:themeColor="text1"/>
        </w:rPr>
        <w:t xml:space="preserve">Of the submissions received, </w:t>
      </w:r>
      <w:r>
        <w:rPr>
          <w:color w:val="000000" w:themeColor="text1"/>
        </w:rPr>
        <w:t>many</w:t>
      </w:r>
      <w:r w:rsidRPr="00040341">
        <w:rPr>
          <w:color w:val="000000" w:themeColor="text1"/>
        </w:rPr>
        <w:t xml:space="preserve"> raised issues that </w:t>
      </w:r>
      <w:r>
        <w:rPr>
          <w:color w:val="000000" w:themeColor="text1"/>
        </w:rPr>
        <w:t>we</w:t>
      </w:r>
      <w:r w:rsidRPr="00040341">
        <w:rPr>
          <w:color w:val="000000" w:themeColor="text1"/>
        </w:rPr>
        <w:t xml:space="preserve">re outside the scope of FSANZ’s regulatory </w:t>
      </w:r>
      <w:r>
        <w:rPr>
          <w:color w:val="000000" w:themeColor="text1"/>
        </w:rPr>
        <w:t>framework. This includes issues related</w:t>
      </w:r>
      <w:r w:rsidRPr="00040341">
        <w:rPr>
          <w:color w:val="000000" w:themeColor="text1"/>
        </w:rPr>
        <w:t xml:space="preserve"> </w:t>
      </w:r>
      <w:r>
        <w:rPr>
          <w:color w:val="000000" w:themeColor="text1"/>
        </w:rPr>
        <w:t>to</w:t>
      </w:r>
      <w:r w:rsidR="004D1A7F">
        <w:rPr>
          <w:color w:val="FF0000"/>
        </w:rPr>
        <w:t xml:space="preserve"> </w:t>
      </w:r>
      <w:r w:rsidR="004D1A7F" w:rsidRPr="005D2A5D">
        <w:t>the environment</w:t>
      </w:r>
      <w:r w:rsidR="00640C12">
        <w:t>, trade</w:t>
      </w:r>
      <w:r w:rsidR="005D2A5D">
        <w:t xml:space="preserve">, </w:t>
      </w:r>
      <w:r w:rsidR="0028290A">
        <w:t xml:space="preserve">country of origin labelling </w:t>
      </w:r>
      <w:r w:rsidRPr="00D36E2E">
        <w:t xml:space="preserve">and </w:t>
      </w:r>
      <w:r w:rsidRPr="00040341">
        <w:rPr>
          <w:color w:val="000000" w:themeColor="text1"/>
        </w:rPr>
        <w:t xml:space="preserve">general GM issues not </w:t>
      </w:r>
      <w:r>
        <w:rPr>
          <w:color w:val="000000" w:themeColor="text1"/>
        </w:rPr>
        <w:t xml:space="preserve">directly </w:t>
      </w:r>
      <w:r w:rsidRPr="00040341">
        <w:rPr>
          <w:color w:val="000000" w:themeColor="text1"/>
        </w:rPr>
        <w:t xml:space="preserve">related to </w:t>
      </w:r>
      <w:r>
        <w:rPr>
          <w:color w:val="000000" w:themeColor="text1"/>
        </w:rPr>
        <w:t>FSANZ’s food safety assessment.</w:t>
      </w:r>
    </w:p>
    <w:p w14:paraId="12C04B76" w14:textId="0D5D15C5" w:rsidR="006073AC" w:rsidRDefault="006073AC" w:rsidP="007D3347">
      <w:pPr>
        <w:rPr>
          <w:color w:val="000000" w:themeColor="text1"/>
        </w:rPr>
      </w:pPr>
    </w:p>
    <w:p w14:paraId="4416685B" w14:textId="63F8CB4B" w:rsidR="006073AC" w:rsidRPr="00807FDE" w:rsidRDefault="006073AC" w:rsidP="006073AC">
      <w:pPr>
        <w:rPr>
          <w:lang w:bidi="ar-SA"/>
        </w:rPr>
      </w:pPr>
      <w:r>
        <w:rPr>
          <w:lang w:bidi="ar-SA"/>
        </w:rPr>
        <w:t xml:space="preserve">Responses to safety issues raised or implied in submissions are provided </w:t>
      </w:r>
      <w:r w:rsidRPr="00807FDE">
        <w:rPr>
          <w:lang w:bidi="ar-SA"/>
        </w:rPr>
        <w:t xml:space="preserve">in Table 1. </w:t>
      </w:r>
    </w:p>
    <w:p w14:paraId="1ABDE0EA" w14:textId="77777777" w:rsidR="006073AC" w:rsidRPr="00807FDE" w:rsidRDefault="006073AC" w:rsidP="006073AC">
      <w:pPr>
        <w:rPr>
          <w:lang w:bidi="ar-SA"/>
        </w:rPr>
      </w:pPr>
    </w:p>
    <w:p w14:paraId="016A1E7E" w14:textId="77777777" w:rsidR="006073AC" w:rsidRDefault="006073AC" w:rsidP="006073AC">
      <w:pPr>
        <w:rPr>
          <w:color w:val="000000" w:themeColor="text1"/>
        </w:rPr>
        <w:sectPr w:rsidR="006073AC" w:rsidSect="00A55DA7">
          <w:pgSz w:w="11906" w:h="16838"/>
          <w:pgMar w:top="1418" w:right="1418" w:bottom="1134" w:left="1418" w:header="709" w:footer="709" w:gutter="0"/>
          <w:cols w:space="708"/>
          <w:docGrid w:linePitch="360"/>
        </w:sectPr>
      </w:pPr>
    </w:p>
    <w:p w14:paraId="5F208510" w14:textId="77777777" w:rsidR="006073AC" w:rsidRPr="00423FFC" w:rsidRDefault="006073AC" w:rsidP="006073AC">
      <w:pPr>
        <w:pStyle w:val="FSTableTitle"/>
        <w:keepNext/>
        <w:widowControl/>
        <w:rPr>
          <w:rFonts w:cs="Times New Roman"/>
          <w:bCs/>
          <w:i/>
          <w:iCs/>
          <w:szCs w:val="22"/>
          <w:lang w:bidi="ar-SA"/>
        </w:rPr>
      </w:pPr>
      <w:r w:rsidRPr="00C655BA">
        <w:rPr>
          <w:rFonts w:cs="Times New Roman"/>
          <w:bCs/>
          <w:i/>
          <w:iCs/>
          <w:szCs w:val="22"/>
          <w:lang w:bidi="ar-SA"/>
        </w:rPr>
        <w:t>Table 1: Summary</w:t>
      </w:r>
      <w:r w:rsidRPr="00C655BA">
        <w:t xml:space="preserve"> </w:t>
      </w:r>
      <w:r w:rsidRPr="00C655BA">
        <w:rPr>
          <w:rFonts w:cs="Times New Roman"/>
          <w:bCs/>
          <w:i/>
          <w:iCs/>
          <w:szCs w:val="22"/>
          <w:lang w:bidi="ar-SA"/>
        </w:rPr>
        <w:t>of issues raised by submiss</w:t>
      </w:r>
      <w:r>
        <w:rPr>
          <w:rFonts w:cs="Times New Roman"/>
          <w:bCs/>
          <w:i/>
          <w:iCs/>
          <w:szCs w:val="22"/>
          <w:lang w:bidi="ar-SA"/>
        </w:rPr>
        <w:t>ions</w:t>
      </w:r>
    </w:p>
    <w:tbl>
      <w:tblPr>
        <w:tblStyle w:val="TableGrid"/>
        <w:tblW w:w="14029" w:type="dxa"/>
        <w:tblLook w:val="04A0" w:firstRow="1" w:lastRow="0" w:firstColumn="1" w:lastColumn="0" w:noHBand="0" w:noVBand="1"/>
        <w:tblCaption w:val="summary of issues raised by submissions"/>
        <w:tblDescription w:val="Summary of issues raised in submissions and FSANZ's response to these issues, including amendments to the draft variations to the Code."/>
      </w:tblPr>
      <w:tblGrid>
        <w:gridCol w:w="3256"/>
        <w:gridCol w:w="1842"/>
        <w:gridCol w:w="8931"/>
      </w:tblGrid>
      <w:tr w:rsidR="006073AC" w:rsidRPr="00C655BA" w14:paraId="2FD60C6E" w14:textId="77777777" w:rsidTr="00D40A92">
        <w:trPr>
          <w:trHeight w:val="680"/>
          <w:tblHeader/>
        </w:trPr>
        <w:tc>
          <w:tcPr>
            <w:tcW w:w="3256" w:type="dxa"/>
            <w:tcBorders>
              <w:bottom w:val="single" w:sz="4" w:space="0" w:color="000000"/>
            </w:tcBorders>
            <w:shd w:val="clear" w:color="auto" w:fill="9BBB59" w:themeFill="accent3"/>
            <w:vAlign w:val="center"/>
          </w:tcPr>
          <w:p w14:paraId="7D9DA6FA" w14:textId="77777777" w:rsidR="006073AC" w:rsidRPr="00C655BA" w:rsidRDefault="006073AC" w:rsidP="00916312">
            <w:pPr>
              <w:spacing w:after="240"/>
              <w:rPr>
                <w:b/>
                <w:color w:val="FFFFFF" w:themeColor="background1"/>
                <w:sz w:val="20"/>
                <w:szCs w:val="20"/>
              </w:rPr>
            </w:pPr>
            <w:r>
              <w:rPr>
                <w:b/>
                <w:color w:val="FFFFFF" w:themeColor="background1"/>
                <w:sz w:val="20"/>
                <w:szCs w:val="20"/>
              </w:rPr>
              <w:t>Issue</w:t>
            </w:r>
          </w:p>
        </w:tc>
        <w:tc>
          <w:tcPr>
            <w:tcW w:w="1842" w:type="dxa"/>
            <w:tcBorders>
              <w:bottom w:val="single" w:sz="4" w:space="0" w:color="000000"/>
            </w:tcBorders>
            <w:shd w:val="clear" w:color="auto" w:fill="9BBB59" w:themeFill="accent3"/>
            <w:vAlign w:val="center"/>
          </w:tcPr>
          <w:p w14:paraId="241BCD44" w14:textId="77777777" w:rsidR="006073AC" w:rsidRPr="00C655BA" w:rsidRDefault="006073AC" w:rsidP="00916312">
            <w:pPr>
              <w:spacing w:after="240"/>
              <w:rPr>
                <w:b/>
                <w:color w:val="FFFFFF" w:themeColor="background1"/>
                <w:sz w:val="20"/>
                <w:szCs w:val="20"/>
              </w:rPr>
            </w:pPr>
            <w:r>
              <w:rPr>
                <w:b/>
                <w:color w:val="FFFFFF" w:themeColor="background1"/>
                <w:sz w:val="20"/>
                <w:szCs w:val="20"/>
              </w:rPr>
              <w:t>Raised by</w:t>
            </w:r>
          </w:p>
        </w:tc>
        <w:tc>
          <w:tcPr>
            <w:tcW w:w="8931" w:type="dxa"/>
            <w:tcBorders>
              <w:bottom w:val="single" w:sz="4" w:space="0" w:color="000000"/>
            </w:tcBorders>
            <w:shd w:val="clear" w:color="auto" w:fill="9BBB59" w:themeFill="accent3"/>
            <w:vAlign w:val="center"/>
          </w:tcPr>
          <w:p w14:paraId="599E7AB3" w14:textId="77777777" w:rsidR="006073AC" w:rsidRPr="00C655BA" w:rsidRDefault="006073AC" w:rsidP="00916312">
            <w:pPr>
              <w:spacing w:after="240"/>
              <w:rPr>
                <w:b/>
                <w:color w:val="FFFFFF" w:themeColor="background1"/>
                <w:sz w:val="20"/>
                <w:szCs w:val="20"/>
              </w:rPr>
            </w:pPr>
            <w:r w:rsidRPr="00C655BA">
              <w:rPr>
                <w:b/>
                <w:color w:val="FFFFFF" w:themeColor="background1"/>
                <w:sz w:val="20"/>
                <w:szCs w:val="20"/>
              </w:rPr>
              <w:t>FSANZ response</w:t>
            </w:r>
          </w:p>
        </w:tc>
      </w:tr>
      <w:tr w:rsidR="006073AC" w:rsidRPr="00C655BA" w14:paraId="5D7F0A26" w14:textId="77777777" w:rsidTr="00D40A92">
        <w:trPr>
          <w:cantSplit/>
        </w:trPr>
        <w:tc>
          <w:tcPr>
            <w:tcW w:w="3256" w:type="dxa"/>
            <w:shd w:val="clear" w:color="auto" w:fill="auto"/>
          </w:tcPr>
          <w:p w14:paraId="41A7A4EA" w14:textId="1CFA5CED" w:rsidR="006073AC" w:rsidRPr="00D11562" w:rsidRDefault="00193BE1" w:rsidP="00412830">
            <w:pPr>
              <w:spacing w:after="240"/>
              <w:rPr>
                <w:sz w:val="18"/>
                <w:szCs w:val="18"/>
              </w:rPr>
            </w:pPr>
            <w:r w:rsidRPr="00D11562">
              <w:rPr>
                <w:sz w:val="18"/>
                <w:szCs w:val="18"/>
              </w:rPr>
              <w:t>Clarity regarding the origin and independence of the studies relied upon in the</w:t>
            </w:r>
            <w:r w:rsidR="0008706C">
              <w:rPr>
                <w:sz w:val="18"/>
                <w:szCs w:val="18"/>
              </w:rPr>
              <w:t xml:space="preserve"> safety</w:t>
            </w:r>
            <w:r w:rsidRPr="00D11562">
              <w:rPr>
                <w:sz w:val="18"/>
                <w:szCs w:val="18"/>
              </w:rPr>
              <w:t xml:space="preserve"> assessment; Unpublished reports were </w:t>
            </w:r>
            <w:r w:rsidR="0008706C">
              <w:rPr>
                <w:sz w:val="18"/>
                <w:szCs w:val="18"/>
              </w:rPr>
              <w:t>not available to the public</w:t>
            </w:r>
            <w:r w:rsidR="00530148">
              <w:rPr>
                <w:sz w:val="18"/>
                <w:szCs w:val="18"/>
              </w:rPr>
              <w:t>.</w:t>
            </w:r>
          </w:p>
        </w:tc>
        <w:tc>
          <w:tcPr>
            <w:tcW w:w="1842" w:type="dxa"/>
            <w:shd w:val="clear" w:color="auto" w:fill="auto"/>
          </w:tcPr>
          <w:p w14:paraId="120CF9BB" w14:textId="2D5C2295" w:rsidR="006073AC" w:rsidRPr="00D11562" w:rsidRDefault="00193BE1" w:rsidP="00D34A47">
            <w:pPr>
              <w:spacing w:after="240"/>
              <w:rPr>
                <w:sz w:val="18"/>
                <w:szCs w:val="18"/>
              </w:rPr>
            </w:pPr>
            <w:r w:rsidRPr="00D11562">
              <w:rPr>
                <w:sz w:val="18"/>
                <w:szCs w:val="18"/>
              </w:rPr>
              <w:t>Joint submission; AFSA</w:t>
            </w:r>
            <w:r w:rsidR="00975837">
              <w:rPr>
                <w:sz w:val="18"/>
                <w:szCs w:val="18"/>
              </w:rPr>
              <w:t xml:space="preserve">; </w:t>
            </w:r>
            <w:r w:rsidR="00D34A47">
              <w:rPr>
                <w:sz w:val="18"/>
                <w:szCs w:val="18"/>
              </w:rPr>
              <w:t>Private submitter (CB)</w:t>
            </w:r>
            <w:r w:rsidR="008E426F">
              <w:rPr>
                <w:sz w:val="18"/>
                <w:szCs w:val="18"/>
              </w:rPr>
              <w:t xml:space="preserve">; </w:t>
            </w:r>
            <w:r w:rsidR="008E426F" w:rsidRPr="008E426F">
              <w:rPr>
                <w:i/>
                <w:sz w:val="18"/>
                <w:szCs w:val="18"/>
              </w:rPr>
              <w:t>Late Comment (SACA)</w:t>
            </w:r>
          </w:p>
        </w:tc>
        <w:tc>
          <w:tcPr>
            <w:tcW w:w="8931" w:type="dxa"/>
            <w:shd w:val="clear" w:color="auto" w:fill="auto"/>
          </w:tcPr>
          <w:p w14:paraId="5BFD0C63" w14:textId="0698364F" w:rsidR="00845A8C" w:rsidRDefault="00845A8C" w:rsidP="002F5B96">
            <w:pPr>
              <w:pStyle w:val="ListParagraph"/>
              <w:autoSpaceDE w:val="0"/>
              <w:autoSpaceDN w:val="0"/>
              <w:adjustRightInd w:val="0"/>
              <w:ind w:left="176" w:hanging="176"/>
              <w:rPr>
                <w:rFonts w:cs="Arial"/>
                <w:color w:val="000000" w:themeColor="text1"/>
                <w:sz w:val="18"/>
                <w:szCs w:val="18"/>
              </w:rPr>
            </w:pPr>
            <w:r>
              <w:rPr>
                <w:rFonts w:cs="Arial"/>
                <w:color w:val="000000" w:themeColor="text1"/>
                <w:sz w:val="18"/>
                <w:szCs w:val="18"/>
              </w:rPr>
              <w:t xml:space="preserve">In </w:t>
            </w:r>
            <w:r w:rsidR="00412830">
              <w:rPr>
                <w:rFonts w:cs="Arial"/>
                <w:color w:val="000000" w:themeColor="text1"/>
                <w:sz w:val="18"/>
                <w:szCs w:val="18"/>
              </w:rPr>
              <w:t>undertaking</w:t>
            </w:r>
            <w:r>
              <w:rPr>
                <w:rFonts w:cs="Arial"/>
                <w:color w:val="000000" w:themeColor="text1"/>
                <w:sz w:val="18"/>
                <w:szCs w:val="18"/>
              </w:rPr>
              <w:t xml:space="preserve"> a safety assessment, </w:t>
            </w:r>
            <w:r w:rsidR="002F5B96">
              <w:rPr>
                <w:rFonts w:cs="Arial"/>
                <w:color w:val="000000" w:themeColor="text1"/>
                <w:sz w:val="18"/>
                <w:szCs w:val="18"/>
              </w:rPr>
              <w:t>FSANZ</w:t>
            </w:r>
            <w:r>
              <w:rPr>
                <w:rFonts w:cs="Arial"/>
                <w:color w:val="000000" w:themeColor="text1"/>
                <w:sz w:val="18"/>
                <w:szCs w:val="18"/>
              </w:rPr>
              <w:t xml:space="preserve"> </w:t>
            </w:r>
            <w:r w:rsidR="00B04A94">
              <w:rPr>
                <w:rFonts w:cs="Arial"/>
                <w:color w:val="000000" w:themeColor="text1"/>
                <w:sz w:val="18"/>
                <w:szCs w:val="18"/>
              </w:rPr>
              <w:t>has regard to</w:t>
            </w:r>
            <w:r>
              <w:rPr>
                <w:rFonts w:cs="Arial"/>
                <w:color w:val="000000" w:themeColor="text1"/>
                <w:sz w:val="18"/>
                <w:szCs w:val="18"/>
              </w:rPr>
              <w:t xml:space="preserve"> a data package from the applicant</w:t>
            </w:r>
            <w:r w:rsidR="00B04A94">
              <w:rPr>
                <w:rFonts w:cs="Arial"/>
                <w:color w:val="000000" w:themeColor="text1"/>
                <w:sz w:val="18"/>
                <w:szCs w:val="18"/>
              </w:rPr>
              <w:t>;</w:t>
            </w:r>
            <w:r>
              <w:rPr>
                <w:rFonts w:cs="Arial"/>
                <w:color w:val="000000" w:themeColor="text1"/>
                <w:sz w:val="18"/>
                <w:szCs w:val="18"/>
              </w:rPr>
              <w:t xml:space="preserve"> </w:t>
            </w:r>
            <w:r w:rsidR="002644A4">
              <w:rPr>
                <w:rFonts w:cs="Arial"/>
                <w:color w:val="000000" w:themeColor="text1"/>
                <w:sz w:val="18"/>
                <w:szCs w:val="18"/>
              </w:rPr>
              <w:t>as well as</w:t>
            </w:r>
            <w:r>
              <w:rPr>
                <w:rFonts w:cs="Arial"/>
                <w:color w:val="000000" w:themeColor="text1"/>
                <w:sz w:val="18"/>
                <w:szCs w:val="18"/>
              </w:rPr>
              <w:t xml:space="preserve"> information </w:t>
            </w:r>
            <w:r w:rsidR="00B04A94" w:rsidRPr="006317E0">
              <w:rPr>
                <w:rFonts w:cs="Arial"/>
                <w:color w:val="000000" w:themeColor="text1"/>
                <w:sz w:val="18"/>
                <w:szCs w:val="18"/>
              </w:rPr>
              <w:t>from</w:t>
            </w:r>
            <w:r w:rsidR="00B04A94">
              <w:rPr>
                <w:rFonts w:cs="Arial"/>
                <w:color w:val="000000" w:themeColor="text1"/>
                <w:sz w:val="18"/>
                <w:szCs w:val="18"/>
              </w:rPr>
              <w:t xml:space="preserve"> a variety of other sources:</w:t>
            </w:r>
            <w:r>
              <w:rPr>
                <w:rFonts w:cs="Arial"/>
                <w:color w:val="000000" w:themeColor="text1"/>
                <w:sz w:val="18"/>
                <w:szCs w:val="18"/>
              </w:rPr>
              <w:t xml:space="preserve"> </w:t>
            </w:r>
            <w:r w:rsidRPr="006317E0">
              <w:rPr>
                <w:rFonts w:cs="Arial"/>
                <w:color w:val="000000" w:themeColor="text1"/>
                <w:sz w:val="18"/>
                <w:szCs w:val="18"/>
              </w:rPr>
              <w:t xml:space="preserve">the scientific literature, other </w:t>
            </w:r>
            <w:r w:rsidR="002644A4">
              <w:rPr>
                <w:rFonts w:cs="Arial"/>
                <w:color w:val="000000" w:themeColor="text1"/>
                <w:sz w:val="18"/>
                <w:szCs w:val="18"/>
              </w:rPr>
              <w:t>assessments</w:t>
            </w:r>
            <w:r w:rsidRPr="006317E0">
              <w:rPr>
                <w:rFonts w:cs="Arial"/>
                <w:color w:val="000000" w:themeColor="text1"/>
                <w:sz w:val="18"/>
                <w:szCs w:val="18"/>
              </w:rPr>
              <w:t>, other government agencies</w:t>
            </w:r>
            <w:r w:rsidR="00B04A94">
              <w:rPr>
                <w:rFonts w:cs="Arial"/>
                <w:color w:val="000000" w:themeColor="text1"/>
                <w:sz w:val="18"/>
                <w:szCs w:val="18"/>
              </w:rPr>
              <w:t>,</w:t>
            </w:r>
            <w:r w:rsidRPr="006317E0">
              <w:rPr>
                <w:rFonts w:cs="Arial"/>
                <w:color w:val="000000" w:themeColor="text1"/>
                <w:sz w:val="18"/>
                <w:szCs w:val="18"/>
              </w:rPr>
              <w:t xml:space="preserve"> and the public.</w:t>
            </w:r>
          </w:p>
          <w:p w14:paraId="12C1C860" w14:textId="79D681EB" w:rsidR="00845A8C" w:rsidRDefault="00845A8C" w:rsidP="002F5B96">
            <w:pPr>
              <w:pStyle w:val="ListParagraph"/>
              <w:autoSpaceDE w:val="0"/>
              <w:autoSpaceDN w:val="0"/>
              <w:adjustRightInd w:val="0"/>
              <w:ind w:left="176" w:hanging="176"/>
              <w:rPr>
                <w:rFonts w:cs="Arial"/>
                <w:color w:val="000000" w:themeColor="text1"/>
                <w:sz w:val="18"/>
                <w:szCs w:val="18"/>
              </w:rPr>
            </w:pPr>
          </w:p>
          <w:p w14:paraId="5D8F00BF" w14:textId="72BE321A" w:rsidR="008449A9" w:rsidRDefault="00845A8C" w:rsidP="008449A9">
            <w:pPr>
              <w:pStyle w:val="ListParagraph"/>
              <w:autoSpaceDE w:val="0"/>
              <w:autoSpaceDN w:val="0"/>
              <w:adjustRightInd w:val="0"/>
              <w:ind w:left="176" w:hanging="176"/>
              <w:rPr>
                <w:rFonts w:cs="Arial"/>
                <w:color w:val="000000" w:themeColor="text1"/>
                <w:sz w:val="18"/>
                <w:szCs w:val="18"/>
              </w:rPr>
            </w:pPr>
            <w:r>
              <w:rPr>
                <w:rFonts w:cs="Arial"/>
                <w:color w:val="000000" w:themeColor="text1"/>
                <w:sz w:val="18"/>
                <w:szCs w:val="18"/>
              </w:rPr>
              <w:t>The data package submitted by</w:t>
            </w:r>
            <w:r w:rsidRPr="00845A8C">
              <w:rPr>
                <w:rFonts w:cs="Arial"/>
                <w:color w:val="000000" w:themeColor="text1"/>
                <w:sz w:val="18"/>
                <w:szCs w:val="18"/>
              </w:rPr>
              <w:t xml:space="preserve"> </w:t>
            </w:r>
            <w:r w:rsidR="00B04A94">
              <w:rPr>
                <w:rFonts w:cs="Arial"/>
                <w:color w:val="000000" w:themeColor="text1"/>
                <w:sz w:val="18"/>
                <w:szCs w:val="18"/>
              </w:rPr>
              <w:t>the applicant</w:t>
            </w:r>
            <w:r>
              <w:rPr>
                <w:rFonts w:cs="Arial"/>
                <w:color w:val="000000" w:themeColor="text1"/>
                <w:sz w:val="18"/>
                <w:szCs w:val="18"/>
              </w:rPr>
              <w:t xml:space="preserve"> </w:t>
            </w:r>
            <w:r w:rsidR="007705AE">
              <w:rPr>
                <w:rFonts w:cs="Arial"/>
                <w:color w:val="000000" w:themeColor="text1"/>
                <w:sz w:val="18"/>
                <w:szCs w:val="18"/>
              </w:rPr>
              <w:t>met the</w:t>
            </w:r>
            <w:r w:rsidR="002F5B96">
              <w:rPr>
                <w:rFonts w:cs="Arial"/>
                <w:color w:val="000000" w:themeColor="text1"/>
                <w:sz w:val="18"/>
                <w:szCs w:val="18"/>
              </w:rPr>
              <w:t xml:space="preserve"> FSANZ data requirements. It is a requirement that</w:t>
            </w:r>
            <w:r w:rsidR="002F5B96" w:rsidRPr="006317E0">
              <w:rPr>
                <w:rFonts w:cs="Arial"/>
                <w:color w:val="000000" w:themeColor="text1"/>
                <w:sz w:val="18"/>
                <w:szCs w:val="18"/>
              </w:rPr>
              <w:t xml:space="preserve"> data</w:t>
            </w:r>
            <w:r w:rsidR="002F5B96">
              <w:rPr>
                <w:rFonts w:cs="Arial"/>
                <w:color w:val="000000" w:themeColor="text1"/>
                <w:sz w:val="18"/>
                <w:szCs w:val="18"/>
              </w:rPr>
              <w:t xml:space="preserve"> is</w:t>
            </w:r>
            <w:r w:rsidR="002F5B96" w:rsidRPr="006317E0">
              <w:rPr>
                <w:rFonts w:cs="Arial"/>
                <w:color w:val="000000" w:themeColor="text1"/>
                <w:sz w:val="18"/>
                <w:szCs w:val="18"/>
              </w:rPr>
              <w:t xml:space="preserve"> generated according to quality assurance guidelines that are based on internationally accepted protocols</w:t>
            </w:r>
            <w:r w:rsidR="002F5B96">
              <w:rPr>
                <w:rFonts w:cs="Arial"/>
                <w:color w:val="000000" w:themeColor="text1"/>
                <w:sz w:val="18"/>
                <w:szCs w:val="18"/>
              </w:rPr>
              <w:t xml:space="preserve">. </w:t>
            </w:r>
            <w:r>
              <w:rPr>
                <w:rFonts w:cs="Arial"/>
                <w:color w:val="000000" w:themeColor="text1"/>
                <w:sz w:val="18"/>
                <w:szCs w:val="18"/>
              </w:rPr>
              <w:t>This involves</w:t>
            </w:r>
            <w:r w:rsidR="002F5B96" w:rsidRPr="006317E0">
              <w:rPr>
                <w:rFonts w:cs="Arial"/>
                <w:color w:val="000000" w:themeColor="text1"/>
                <w:sz w:val="18"/>
                <w:szCs w:val="18"/>
              </w:rPr>
              <w:t xml:space="preserve"> validated methodology and procedures that are consistent with</w:t>
            </w:r>
            <w:r w:rsidR="002F5B96">
              <w:rPr>
                <w:rFonts w:cs="Arial"/>
                <w:color w:val="000000" w:themeColor="text1"/>
                <w:sz w:val="18"/>
                <w:szCs w:val="18"/>
              </w:rPr>
              <w:t xml:space="preserve"> Good Laboratory Practice (GLP)</w:t>
            </w:r>
            <w:r w:rsidR="002F5B96" w:rsidRPr="006317E0">
              <w:rPr>
                <w:rFonts w:cs="Arial"/>
                <w:color w:val="000000" w:themeColor="text1"/>
                <w:sz w:val="18"/>
                <w:szCs w:val="18"/>
              </w:rPr>
              <w:t xml:space="preserve"> and </w:t>
            </w:r>
            <w:r>
              <w:rPr>
                <w:rFonts w:cs="Arial"/>
                <w:color w:val="000000" w:themeColor="text1"/>
                <w:sz w:val="18"/>
                <w:szCs w:val="18"/>
              </w:rPr>
              <w:t xml:space="preserve">can </w:t>
            </w:r>
            <w:r w:rsidR="002F5B96" w:rsidRPr="006317E0">
              <w:rPr>
                <w:rFonts w:cs="Arial"/>
                <w:color w:val="000000" w:themeColor="text1"/>
                <w:sz w:val="18"/>
                <w:szCs w:val="18"/>
              </w:rPr>
              <w:t xml:space="preserve">stand up to external scrutiny (i.e. independent audits and documentation trails). To achieve this, </w:t>
            </w:r>
            <w:r w:rsidR="00B04A94">
              <w:rPr>
                <w:rFonts w:cs="Arial"/>
                <w:color w:val="000000" w:themeColor="text1"/>
                <w:sz w:val="18"/>
                <w:szCs w:val="18"/>
              </w:rPr>
              <w:t>the applicant</w:t>
            </w:r>
            <w:r>
              <w:rPr>
                <w:rFonts w:cs="Arial"/>
                <w:color w:val="000000" w:themeColor="text1"/>
                <w:sz w:val="18"/>
                <w:szCs w:val="18"/>
              </w:rPr>
              <w:t xml:space="preserve"> submitted</w:t>
            </w:r>
            <w:r w:rsidR="002F5B96" w:rsidRPr="006317E0">
              <w:rPr>
                <w:rFonts w:cs="Arial"/>
                <w:color w:val="000000" w:themeColor="text1"/>
                <w:sz w:val="18"/>
                <w:szCs w:val="18"/>
              </w:rPr>
              <w:t xml:space="preserve"> a comprehensive dossier of quality-assured raw experimental data for </w:t>
            </w:r>
            <w:r>
              <w:rPr>
                <w:rFonts w:cs="Arial"/>
                <w:color w:val="000000" w:themeColor="text1"/>
                <w:sz w:val="18"/>
                <w:szCs w:val="18"/>
              </w:rPr>
              <w:t>potato lines V11 and Z6</w:t>
            </w:r>
            <w:r w:rsidR="002F5B96" w:rsidRPr="006317E0">
              <w:rPr>
                <w:rFonts w:cs="Arial"/>
                <w:color w:val="000000" w:themeColor="text1"/>
                <w:sz w:val="18"/>
                <w:szCs w:val="18"/>
              </w:rPr>
              <w:t xml:space="preserve">. </w:t>
            </w:r>
            <w:r w:rsidR="00B04A94" w:rsidRPr="00B04A94">
              <w:rPr>
                <w:rFonts w:cs="Arial"/>
                <w:color w:val="000000" w:themeColor="text1"/>
                <w:sz w:val="18"/>
                <w:szCs w:val="18"/>
              </w:rPr>
              <w:t xml:space="preserve">This enabled FSANZ to independently assess the data and reach an independent conclusion about the safety of the food in question. </w:t>
            </w:r>
            <w:r w:rsidR="002F5B96">
              <w:rPr>
                <w:rFonts w:cs="Arial"/>
                <w:color w:val="000000" w:themeColor="text1"/>
                <w:sz w:val="18"/>
                <w:szCs w:val="18"/>
              </w:rPr>
              <w:t xml:space="preserve"> </w:t>
            </w:r>
          </w:p>
          <w:p w14:paraId="234A82A3" w14:textId="77777777" w:rsidR="008449A9" w:rsidRDefault="008449A9" w:rsidP="008449A9">
            <w:pPr>
              <w:pStyle w:val="ListParagraph"/>
              <w:autoSpaceDE w:val="0"/>
              <w:autoSpaceDN w:val="0"/>
              <w:adjustRightInd w:val="0"/>
              <w:ind w:left="176" w:hanging="176"/>
              <w:rPr>
                <w:rFonts w:cs="Arial"/>
                <w:color w:val="000000" w:themeColor="text1"/>
                <w:sz w:val="18"/>
                <w:szCs w:val="18"/>
              </w:rPr>
            </w:pPr>
          </w:p>
          <w:p w14:paraId="583C076F" w14:textId="66327E37" w:rsidR="006073AC" w:rsidRPr="000013BD" w:rsidRDefault="008449A9" w:rsidP="000013BD">
            <w:pPr>
              <w:pStyle w:val="ListParagraph"/>
              <w:autoSpaceDE w:val="0"/>
              <w:autoSpaceDN w:val="0"/>
              <w:adjustRightInd w:val="0"/>
              <w:ind w:left="176" w:hanging="176"/>
              <w:rPr>
                <w:rFonts w:cs="Arial"/>
                <w:color w:val="000000" w:themeColor="text1"/>
                <w:sz w:val="18"/>
                <w:szCs w:val="18"/>
              </w:rPr>
            </w:pPr>
            <w:r w:rsidRPr="008449A9">
              <w:rPr>
                <w:rFonts w:cs="Arial"/>
                <w:color w:val="000000" w:themeColor="text1"/>
                <w:sz w:val="18"/>
                <w:szCs w:val="18"/>
              </w:rPr>
              <w:t>The Australian Government’s Information Publication Scheme and the provisions of the FSANZ Act aim to promote transparency and pro-disclosure to inform and facilitate public participation in decision-making.</w:t>
            </w:r>
            <w:r>
              <w:rPr>
                <w:rFonts w:cs="Arial"/>
                <w:color w:val="000000" w:themeColor="text1"/>
                <w:sz w:val="18"/>
                <w:szCs w:val="18"/>
              </w:rPr>
              <w:t xml:space="preserve"> To this end, FSANZ places the main </w:t>
            </w:r>
            <w:r w:rsidR="00412830">
              <w:rPr>
                <w:rFonts w:cs="Arial"/>
                <w:color w:val="000000" w:themeColor="text1"/>
                <w:sz w:val="18"/>
                <w:szCs w:val="18"/>
              </w:rPr>
              <w:t>application and submissions</w:t>
            </w:r>
            <w:r>
              <w:rPr>
                <w:rFonts w:cs="Arial"/>
                <w:color w:val="000000" w:themeColor="text1"/>
                <w:sz w:val="18"/>
                <w:szCs w:val="18"/>
              </w:rPr>
              <w:t xml:space="preserve"> on its website. </w:t>
            </w:r>
            <w:r w:rsidR="000013BD" w:rsidRPr="000013BD">
              <w:rPr>
                <w:rFonts w:cs="Arial"/>
                <w:color w:val="000000" w:themeColor="text1"/>
                <w:sz w:val="18"/>
                <w:szCs w:val="18"/>
              </w:rPr>
              <w:t>For A1199, the unpublished reports provided by the applicant contained confidential information, including confidential commercial information (as defined in subsection 4(1) of th</w:t>
            </w:r>
            <w:r w:rsidR="000013BD">
              <w:rPr>
                <w:rFonts w:cs="Arial"/>
                <w:color w:val="000000" w:themeColor="text1"/>
                <w:sz w:val="18"/>
                <w:szCs w:val="18"/>
              </w:rPr>
              <w:t>e FSANZ Act) and under that Act</w:t>
            </w:r>
            <w:r w:rsidR="000013BD" w:rsidRPr="000013BD">
              <w:rPr>
                <w:rFonts w:cs="Arial"/>
                <w:color w:val="000000" w:themeColor="text1"/>
                <w:sz w:val="18"/>
                <w:szCs w:val="18"/>
              </w:rPr>
              <w:t xml:space="preserve"> FSANZ is not permitted to make such information publically available. Consequently, FSANZ had to redact all confidential information from those reports and only publish the redacted versions of those reports</w:t>
            </w:r>
            <w:r w:rsidR="000013BD">
              <w:rPr>
                <w:rFonts w:cs="Arial"/>
                <w:color w:val="000000" w:themeColor="text1"/>
                <w:sz w:val="18"/>
                <w:szCs w:val="18"/>
              </w:rPr>
              <w:t xml:space="preserve"> on the </w:t>
            </w:r>
            <w:hyperlink r:id="rId12" w:history="1">
              <w:r w:rsidRPr="000013BD">
                <w:rPr>
                  <w:rStyle w:val="Hyperlink"/>
                  <w:rFonts w:cs="Arial"/>
                  <w:sz w:val="18"/>
                  <w:szCs w:val="18"/>
                </w:rPr>
                <w:t>FSANZ</w:t>
              </w:r>
              <w:r w:rsidR="00C54E99" w:rsidRPr="000013BD">
                <w:rPr>
                  <w:rStyle w:val="Hyperlink"/>
                  <w:rFonts w:cs="Arial"/>
                  <w:sz w:val="18"/>
                  <w:szCs w:val="18"/>
                </w:rPr>
                <w:t>’s</w:t>
              </w:r>
              <w:r w:rsidRPr="000013BD">
                <w:rPr>
                  <w:rStyle w:val="Hyperlink"/>
                  <w:rFonts w:cs="Arial"/>
                  <w:sz w:val="18"/>
                  <w:szCs w:val="18"/>
                </w:rPr>
                <w:t xml:space="preserve"> website</w:t>
              </w:r>
            </w:hyperlink>
            <w:r>
              <w:rPr>
                <w:rStyle w:val="FootnoteReference"/>
                <w:rFonts w:cs="Arial"/>
                <w:color w:val="000000" w:themeColor="text1"/>
                <w:sz w:val="18"/>
                <w:szCs w:val="18"/>
              </w:rPr>
              <w:footnoteReference w:id="4"/>
            </w:r>
            <w:r w:rsidR="000013BD" w:rsidRPr="000013BD">
              <w:rPr>
                <w:rFonts w:cs="Arial"/>
                <w:color w:val="000000" w:themeColor="text1"/>
                <w:sz w:val="18"/>
                <w:szCs w:val="18"/>
              </w:rPr>
              <w:t>.</w:t>
            </w:r>
          </w:p>
          <w:p w14:paraId="3E690203" w14:textId="6BF60573" w:rsidR="008449A9" w:rsidRPr="008449A9" w:rsidRDefault="008449A9" w:rsidP="008449A9">
            <w:pPr>
              <w:pStyle w:val="ListParagraph"/>
              <w:autoSpaceDE w:val="0"/>
              <w:autoSpaceDN w:val="0"/>
              <w:adjustRightInd w:val="0"/>
              <w:ind w:left="176" w:hanging="176"/>
              <w:rPr>
                <w:rFonts w:cs="Arial"/>
                <w:color w:val="000000" w:themeColor="text1"/>
                <w:sz w:val="18"/>
                <w:szCs w:val="18"/>
              </w:rPr>
            </w:pPr>
          </w:p>
        </w:tc>
      </w:tr>
      <w:tr w:rsidR="00696324" w:rsidRPr="00C655BA" w14:paraId="5347521F" w14:textId="77777777" w:rsidTr="00D40A92">
        <w:trPr>
          <w:cantSplit/>
        </w:trPr>
        <w:tc>
          <w:tcPr>
            <w:tcW w:w="3256" w:type="dxa"/>
            <w:shd w:val="clear" w:color="auto" w:fill="auto"/>
          </w:tcPr>
          <w:p w14:paraId="4B76641E" w14:textId="61168AC0" w:rsidR="00A4590A" w:rsidRPr="00D11562" w:rsidRDefault="00696324" w:rsidP="00A4590A">
            <w:pPr>
              <w:spacing w:after="240"/>
              <w:rPr>
                <w:sz w:val="18"/>
                <w:szCs w:val="18"/>
              </w:rPr>
            </w:pPr>
            <w:r>
              <w:rPr>
                <w:sz w:val="18"/>
                <w:szCs w:val="18"/>
              </w:rPr>
              <w:t>FSANZ’s safety assessment process is deficient</w:t>
            </w:r>
            <w:r w:rsidR="00A4590A">
              <w:rPr>
                <w:sz w:val="18"/>
                <w:szCs w:val="18"/>
              </w:rPr>
              <w:t>; The concept of substantial equivalence is not scientific</w:t>
            </w:r>
            <w:r w:rsidR="00C54E99">
              <w:rPr>
                <w:sz w:val="18"/>
                <w:szCs w:val="18"/>
              </w:rPr>
              <w:t>.</w:t>
            </w:r>
            <w:r w:rsidR="00A4590A">
              <w:rPr>
                <w:sz w:val="18"/>
                <w:szCs w:val="18"/>
              </w:rPr>
              <w:t xml:space="preserve"> </w:t>
            </w:r>
          </w:p>
        </w:tc>
        <w:tc>
          <w:tcPr>
            <w:tcW w:w="1842" w:type="dxa"/>
            <w:shd w:val="clear" w:color="auto" w:fill="auto"/>
          </w:tcPr>
          <w:p w14:paraId="17EBC2C5" w14:textId="4E0DA233" w:rsidR="00696324" w:rsidRPr="00D11562" w:rsidRDefault="00696324" w:rsidP="00916312">
            <w:pPr>
              <w:spacing w:after="240"/>
              <w:rPr>
                <w:sz w:val="18"/>
                <w:szCs w:val="18"/>
              </w:rPr>
            </w:pPr>
            <w:r>
              <w:rPr>
                <w:sz w:val="18"/>
                <w:szCs w:val="18"/>
              </w:rPr>
              <w:t>Joint submission</w:t>
            </w:r>
            <w:r w:rsidR="008E426F">
              <w:rPr>
                <w:sz w:val="18"/>
                <w:szCs w:val="18"/>
              </w:rPr>
              <w:t xml:space="preserve">; </w:t>
            </w:r>
            <w:r w:rsidR="008E426F" w:rsidRPr="008E426F">
              <w:rPr>
                <w:i/>
                <w:sz w:val="18"/>
                <w:szCs w:val="18"/>
              </w:rPr>
              <w:t>Late Comment (SACA)</w:t>
            </w:r>
          </w:p>
        </w:tc>
        <w:tc>
          <w:tcPr>
            <w:tcW w:w="8931" w:type="dxa"/>
            <w:shd w:val="clear" w:color="auto" w:fill="auto"/>
          </w:tcPr>
          <w:p w14:paraId="7CDA43AA" w14:textId="736DAAD8" w:rsidR="00A4590A" w:rsidRDefault="00EA1D3E" w:rsidP="00593CD1">
            <w:pPr>
              <w:pStyle w:val="ListParagraph"/>
              <w:autoSpaceDE w:val="0"/>
              <w:autoSpaceDN w:val="0"/>
              <w:adjustRightInd w:val="0"/>
              <w:spacing w:after="240"/>
              <w:ind w:left="176" w:hanging="176"/>
              <w:rPr>
                <w:rFonts w:cs="Arial"/>
                <w:color w:val="000000" w:themeColor="text1"/>
                <w:sz w:val="18"/>
                <w:szCs w:val="18"/>
              </w:rPr>
            </w:pPr>
            <w:r>
              <w:rPr>
                <w:rFonts w:cs="Arial"/>
                <w:color w:val="000000" w:themeColor="text1"/>
                <w:sz w:val="18"/>
                <w:szCs w:val="18"/>
              </w:rPr>
              <w:t>FSANZ’s approach to assess the safety of GM food</w:t>
            </w:r>
            <w:r w:rsidR="00B61C48">
              <w:rPr>
                <w:rFonts w:cs="Arial"/>
                <w:color w:val="000000" w:themeColor="text1"/>
                <w:sz w:val="18"/>
                <w:szCs w:val="18"/>
              </w:rPr>
              <w:t>, both</w:t>
            </w:r>
            <w:r w:rsidR="00B61C48" w:rsidRPr="00992138">
              <w:rPr>
                <w:rFonts w:cs="Arial"/>
                <w:color w:val="000000" w:themeColor="text1"/>
                <w:sz w:val="18"/>
                <w:szCs w:val="18"/>
              </w:rPr>
              <w:t xml:space="preserve"> </w:t>
            </w:r>
            <w:r w:rsidR="00B61C48">
              <w:rPr>
                <w:rFonts w:cs="Arial"/>
                <w:color w:val="000000" w:themeColor="text1"/>
                <w:sz w:val="18"/>
                <w:szCs w:val="18"/>
              </w:rPr>
              <w:t>generally and for the purposes of this Application,</w:t>
            </w:r>
            <w:r>
              <w:rPr>
                <w:rFonts w:cs="Arial"/>
                <w:color w:val="000000" w:themeColor="text1"/>
                <w:sz w:val="18"/>
                <w:szCs w:val="18"/>
              </w:rPr>
              <w:t xml:space="preserve"> is based on </w:t>
            </w:r>
            <w:r w:rsidR="00412830" w:rsidRPr="00992138">
              <w:rPr>
                <w:rFonts w:cs="Arial"/>
                <w:color w:val="000000" w:themeColor="text1"/>
                <w:sz w:val="18"/>
                <w:szCs w:val="18"/>
              </w:rPr>
              <w:t xml:space="preserve">core </w:t>
            </w:r>
            <w:r w:rsidR="00412830">
              <w:rPr>
                <w:rFonts w:cs="Arial"/>
                <w:color w:val="000000" w:themeColor="text1"/>
                <w:sz w:val="18"/>
                <w:szCs w:val="18"/>
              </w:rPr>
              <w:t xml:space="preserve">concepts and </w:t>
            </w:r>
            <w:r w:rsidR="00412830" w:rsidRPr="00992138">
              <w:rPr>
                <w:rFonts w:cs="Arial"/>
                <w:color w:val="000000" w:themeColor="text1"/>
                <w:sz w:val="18"/>
                <w:szCs w:val="18"/>
              </w:rPr>
              <w:t>principles developed almost 20 years ago by the Codex Alimentarius Commis</w:t>
            </w:r>
            <w:r w:rsidR="00412830">
              <w:rPr>
                <w:rFonts w:cs="Arial"/>
                <w:color w:val="000000" w:themeColor="text1"/>
                <w:sz w:val="18"/>
                <w:szCs w:val="18"/>
              </w:rPr>
              <w:t>sion (Codex 2009a, 2009b)</w:t>
            </w:r>
            <w:r w:rsidR="00412830" w:rsidRPr="00412830">
              <w:rPr>
                <w:rFonts w:cs="Arial"/>
                <w:color w:val="000000" w:themeColor="text1"/>
                <w:sz w:val="18"/>
                <w:szCs w:val="18"/>
              </w:rPr>
              <w:t xml:space="preserve">. </w:t>
            </w:r>
            <w:r w:rsidR="00A4590A">
              <w:rPr>
                <w:rFonts w:cs="Arial"/>
                <w:color w:val="000000" w:themeColor="text1"/>
                <w:sz w:val="18"/>
                <w:szCs w:val="18"/>
              </w:rPr>
              <w:t xml:space="preserve">This is a </w:t>
            </w:r>
            <w:r w:rsidR="00593CD1">
              <w:rPr>
                <w:rFonts w:cs="Arial"/>
                <w:color w:val="000000" w:themeColor="text1"/>
                <w:sz w:val="18"/>
                <w:szCs w:val="18"/>
              </w:rPr>
              <w:t>multidisciplinary</w:t>
            </w:r>
            <w:r w:rsidR="00A4590A">
              <w:rPr>
                <w:rFonts w:cs="Arial"/>
                <w:color w:val="000000" w:themeColor="text1"/>
                <w:sz w:val="18"/>
                <w:szCs w:val="18"/>
              </w:rPr>
              <w:t xml:space="preserve"> approach to GM food </w:t>
            </w:r>
            <w:r w:rsidR="00593CD1">
              <w:rPr>
                <w:rFonts w:cs="Arial"/>
                <w:color w:val="000000" w:themeColor="text1"/>
                <w:sz w:val="18"/>
                <w:szCs w:val="18"/>
              </w:rPr>
              <w:t>safety</w:t>
            </w:r>
            <w:r w:rsidR="00A4590A">
              <w:rPr>
                <w:rFonts w:cs="Arial"/>
                <w:color w:val="000000" w:themeColor="text1"/>
                <w:sz w:val="18"/>
                <w:szCs w:val="18"/>
              </w:rPr>
              <w:t xml:space="preserve"> assessment and uses </w:t>
            </w:r>
            <w:r w:rsidR="00A4590A" w:rsidRPr="00A4590A">
              <w:rPr>
                <w:rFonts w:cs="Arial"/>
                <w:color w:val="000000" w:themeColor="text1"/>
                <w:sz w:val="18"/>
                <w:szCs w:val="18"/>
              </w:rPr>
              <w:t xml:space="preserve">the concept of a scientific comparison of the GM food to a </w:t>
            </w:r>
            <w:r w:rsidR="00B61C48">
              <w:rPr>
                <w:rFonts w:cs="Arial"/>
                <w:color w:val="000000" w:themeColor="text1"/>
                <w:sz w:val="18"/>
                <w:szCs w:val="18"/>
              </w:rPr>
              <w:t xml:space="preserve">non-GM </w:t>
            </w:r>
            <w:r w:rsidR="00A4590A" w:rsidRPr="00A4590A">
              <w:rPr>
                <w:rFonts w:cs="Arial"/>
                <w:color w:val="000000" w:themeColor="text1"/>
                <w:sz w:val="18"/>
                <w:szCs w:val="18"/>
              </w:rPr>
              <w:t xml:space="preserve">counterpart having a history of safe use. </w:t>
            </w:r>
            <w:r w:rsidR="00593CD1">
              <w:rPr>
                <w:rFonts w:cs="Arial"/>
                <w:color w:val="000000" w:themeColor="text1"/>
                <w:sz w:val="18"/>
                <w:szCs w:val="18"/>
              </w:rPr>
              <w:t>This concept is also known as substantial equivalence.</w:t>
            </w:r>
          </w:p>
          <w:p w14:paraId="10F29C64" w14:textId="77777777" w:rsidR="00593CD1" w:rsidRPr="00593CD1" w:rsidRDefault="00593CD1" w:rsidP="00593CD1">
            <w:pPr>
              <w:pStyle w:val="ListParagraph"/>
              <w:autoSpaceDE w:val="0"/>
              <w:autoSpaceDN w:val="0"/>
              <w:adjustRightInd w:val="0"/>
              <w:spacing w:after="240"/>
              <w:ind w:left="176" w:hanging="176"/>
              <w:rPr>
                <w:rFonts w:cs="Arial"/>
                <w:color w:val="000000" w:themeColor="text1"/>
                <w:sz w:val="18"/>
                <w:szCs w:val="18"/>
              </w:rPr>
            </w:pPr>
          </w:p>
          <w:p w14:paraId="4A9BBA4F" w14:textId="00C91D7F" w:rsidR="00696324" w:rsidRPr="00412830" w:rsidRDefault="00A4590A" w:rsidP="000F1B5A">
            <w:pPr>
              <w:pStyle w:val="ListParagraph"/>
              <w:autoSpaceDE w:val="0"/>
              <w:autoSpaceDN w:val="0"/>
              <w:adjustRightInd w:val="0"/>
              <w:spacing w:after="240"/>
              <w:ind w:left="176" w:hanging="176"/>
              <w:rPr>
                <w:rFonts w:cs="Arial"/>
                <w:color w:val="000000" w:themeColor="text1"/>
                <w:sz w:val="18"/>
                <w:szCs w:val="18"/>
              </w:rPr>
            </w:pPr>
            <w:r>
              <w:rPr>
                <w:sz w:val="18"/>
                <w:szCs w:val="18"/>
              </w:rPr>
              <w:t>T</w:t>
            </w:r>
            <w:r w:rsidRPr="00A3467E">
              <w:rPr>
                <w:sz w:val="18"/>
                <w:szCs w:val="18"/>
              </w:rPr>
              <w:t>he assessment protocol</w:t>
            </w:r>
            <w:r>
              <w:rPr>
                <w:sz w:val="18"/>
                <w:szCs w:val="18"/>
              </w:rPr>
              <w:t xml:space="preserve"> has been </w:t>
            </w:r>
            <w:r w:rsidRPr="00A3467E">
              <w:rPr>
                <w:sz w:val="18"/>
                <w:szCs w:val="18"/>
              </w:rPr>
              <w:t>subject</w:t>
            </w:r>
            <w:r>
              <w:rPr>
                <w:sz w:val="18"/>
                <w:szCs w:val="18"/>
              </w:rPr>
              <w:t>ed</w:t>
            </w:r>
            <w:r w:rsidRPr="00A3467E">
              <w:rPr>
                <w:sz w:val="18"/>
                <w:szCs w:val="18"/>
              </w:rPr>
              <w:t xml:space="preserve"> </w:t>
            </w:r>
            <w:r>
              <w:rPr>
                <w:sz w:val="18"/>
                <w:szCs w:val="18"/>
              </w:rPr>
              <w:t>to</w:t>
            </w:r>
            <w:r w:rsidRPr="00A3467E">
              <w:rPr>
                <w:sz w:val="18"/>
                <w:szCs w:val="18"/>
              </w:rPr>
              <w:t xml:space="preserve"> scientific scrutiny </w:t>
            </w:r>
            <w:r>
              <w:rPr>
                <w:sz w:val="18"/>
                <w:szCs w:val="18"/>
              </w:rPr>
              <w:t>and</w:t>
            </w:r>
            <w:r w:rsidRPr="00A3467E">
              <w:rPr>
                <w:sz w:val="18"/>
                <w:szCs w:val="18"/>
              </w:rPr>
              <w:t xml:space="preserve"> has prove</w:t>
            </w:r>
            <w:r>
              <w:rPr>
                <w:sz w:val="18"/>
                <w:szCs w:val="18"/>
              </w:rPr>
              <w:t>n</w:t>
            </w:r>
            <w:r w:rsidRPr="00A3467E">
              <w:rPr>
                <w:sz w:val="18"/>
                <w:szCs w:val="18"/>
              </w:rPr>
              <w:t xml:space="preserve"> to be a robust approach for whole food safety assessments.</w:t>
            </w:r>
            <w:r>
              <w:rPr>
                <w:sz w:val="18"/>
                <w:szCs w:val="18"/>
              </w:rPr>
              <w:t xml:space="preserve"> </w:t>
            </w:r>
            <w:r w:rsidR="00EA1D3E">
              <w:rPr>
                <w:rFonts w:cs="Arial"/>
                <w:color w:val="000000" w:themeColor="text1"/>
                <w:sz w:val="18"/>
                <w:szCs w:val="18"/>
              </w:rPr>
              <w:t xml:space="preserve">This approach is not unique to FSANZ, but has been widely adopted </w:t>
            </w:r>
            <w:r w:rsidR="007705AE">
              <w:rPr>
                <w:rFonts w:cs="Arial"/>
                <w:color w:val="000000" w:themeColor="text1"/>
                <w:sz w:val="18"/>
                <w:szCs w:val="18"/>
              </w:rPr>
              <w:t>by governments around the world</w:t>
            </w:r>
            <w:r w:rsidR="00EA1D3E">
              <w:rPr>
                <w:rFonts w:cs="Arial"/>
                <w:color w:val="000000" w:themeColor="text1"/>
                <w:sz w:val="18"/>
                <w:szCs w:val="18"/>
              </w:rPr>
              <w:t xml:space="preserve">. The approach ensures that </w:t>
            </w:r>
            <w:r w:rsidR="00412830">
              <w:rPr>
                <w:rFonts w:cs="Arial"/>
                <w:color w:val="000000" w:themeColor="text1"/>
                <w:sz w:val="18"/>
                <w:szCs w:val="18"/>
              </w:rPr>
              <w:t xml:space="preserve">GM foods are </w:t>
            </w:r>
            <w:r w:rsidR="00412830" w:rsidRPr="00992138">
              <w:rPr>
                <w:rFonts w:cs="Arial"/>
                <w:color w:val="000000" w:themeColor="text1"/>
                <w:sz w:val="18"/>
                <w:szCs w:val="18"/>
              </w:rPr>
              <w:t xml:space="preserve">as safe as </w:t>
            </w:r>
            <w:r w:rsidR="00412830">
              <w:rPr>
                <w:rFonts w:cs="Arial"/>
                <w:color w:val="000000" w:themeColor="text1"/>
                <w:sz w:val="18"/>
                <w:szCs w:val="18"/>
              </w:rPr>
              <w:t>their non-GM counterparts.</w:t>
            </w:r>
          </w:p>
        </w:tc>
      </w:tr>
      <w:tr w:rsidR="006073AC" w:rsidRPr="00C655BA" w14:paraId="5296E5DE" w14:textId="77777777" w:rsidTr="00D40A92">
        <w:trPr>
          <w:cantSplit/>
          <w:trHeight w:val="992"/>
        </w:trPr>
        <w:tc>
          <w:tcPr>
            <w:tcW w:w="3256" w:type="dxa"/>
            <w:shd w:val="clear" w:color="auto" w:fill="auto"/>
          </w:tcPr>
          <w:p w14:paraId="6DB54492" w14:textId="39F5D3D0" w:rsidR="006073AC" w:rsidRPr="00D11562" w:rsidRDefault="00193BE1" w:rsidP="00916312">
            <w:pPr>
              <w:spacing w:after="240"/>
              <w:rPr>
                <w:sz w:val="18"/>
                <w:szCs w:val="18"/>
              </w:rPr>
            </w:pPr>
            <w:r w:rsidRPr="00D11562">
              <w:rPr>
                <w:sz w:val="18"/>
                <w:szCs w:val="18"/>
              </w:rPr>
              <w:t>FSANZ should consider evidence that supports the views of submitters</w:t>
            </w:r>
            <w:r w:rsidR="00640C12">
              <w:rPr>
                <w:sz w:val="18"/>
                <w:szCs w:val="18"/>
              </w:rPr>
              <w:t>.</w:t>
            </w:r>
          </w:p>
        </w:tc>
        <w:tc>
          <w:tcPr>
            <w:tcW w:w="1842" w:type="dxa"/>
            <w:shd w:val="clear" w:color="auto" w:fill="auto"/>
          </w:tcPr>
          <w:p w14:paraId="5E147D0A" w14:textId="2AE39BF3" w:rsidR="006073AC" w:rsidRPr="00D11562" w:rsidRDefault="00193BE1" w:rsidP="00916312">
            <w:pPr>
              <w:spacing w:after="240"/>
              <w:rPr>
                <w:sz w:val="18"/>
                <w:szCs w:val="18"/>
              </w:rPr>
            </w:pPr>
            <w:r w:rsidRPr="00D11562">
              <w:rPr>
                <w:sz w:val="18"/>
                <w:szCs w:val="18"/>
              </w:rPr>
              <w:t>Joint submission</w:t>
            </w:r>
          </w:p>
        </w:tc>
        <w:tc>
          <w:tcPr>
            <w:tcW w:w="8931" w:type="dxa"/>
            <w:shd w:val="clear" w:color="auto" w:fill="auto"/>
          </w:tcPr>
          <w:p w14:paraId="530DC6F7" w14:textId="3C56E006" w:rsidR="006073AC" w:rsidRPr="00184F08" w:rsidRDefault="00184F08" w:rsidP="007705AE">
            <w:pPr>
              <w:pStyle w:val="ListParagraph"/>
              <w:autoSpaceDE w:val="0"/>
              <w:autoSpaceDN w:val="0"/>
              <w:adjustRightInd w:val="0"/>
              <w:ind w:left="176" w:hanging="176"/>
              <w:rPr>
                <w:rFonts w:cs="Arial"/>
                <w:color w:val="000000" w:themeColor="text1"/>
                <w:sz w:val="18"/>
                <w:szCs w:val="18"/>
              </w:rPr>
            </w:pPr>
            <w:r>
              <w:rPr>
                <w:rFonts w:cs="Arial"/>
                <w:color w:val="000000" w:themeColor="text1"/>
                <w:sz w:val="18"/>
                <w:szCs w:val="18"/>
              </w:rPr>
              <w:t xml:space="preserve">FSANZ has regard to evidence and issues </w:t>
            </w:r>
            <w:r w:rsidR="005034A9" w:rsidRPr="00184F08">
              <w:rPr>
                <w:rFonts w:cs="Arial"/>
                <w:color w:val="000000" w:themeColor="text1"/>
                <w:sz w:val="18"/>
                <w:szCs w:val="18"/>
              </w:rPr>
              <w:t>provided by submitters during the public consultation period</w:t>
            </w:r>
            <w:r>
              <w:rPr>
                <w:rFonts w:cs="Arial"/>
                <w:color w:val="000000" w:themeColor="text1"/>
                <w:sz w:val="18"/>
                <w:szCs w:val="18"/>
              </w:rPr>
              <w:t xml:space="preserve">. If such evidence </w:t>
            </w:r>
            <w:r w:rsidR="007705AE">
              <w:rPr>
                <w:rFonts w:cs="Arial"/>
                <w:color w:val="000000" w:themeColor="text1"/>
                <w:sz w:val="18"/>
                <w:szCs w:val="18"/>
              </w:rPr>
              <w:t xml:space="preserve">raises </w:t>
            </w:r>
            <w:r>
              <w:rPr>
                <w:rFonts w:cs="Arial"/>
                <w:color w:val="000000" w:themeColor="text1"/>
                <w:sz w:val="18"/>
                <w:szCs w:val="18"/>
              </w:rPr>
              <w:t>safety issues</w:t>
            </w:r>
            <w:r w:rsidR="007705AE">
              <w:rPr>
                <w:rFonts w:cs="Arial"/>
                <w:color w:val="000000" w:themeColor="text1"/>
                <w:sz w:val="18"/>
                <w:szCs w:val="18"/>
              </w:rPr>
              <w:t xml:space="preserve"> or concerns</w:t>
            </w:r>
            <w:r>
              <w:rPr>
                <w:rFonts w:cs="Arial"/>
                <w:color w:val="000000" w:themeColor="text1"/>
                <w:sz w:val="18"/>
                <w:szCs w:val="18"/>
              </w:rPr>
              <w:t xml:space="preserve"> </w:t>
            </w:r>
            <w:r w:rsidR="00C00E77">
              <w:rPr>
                <w:rFonts w:cs="Arial"/>
                <w:color w:val="000000" w:themeColor="text1"/>
                <w:sz w:val="18"/>
                <w:szCs w:val="18"/>
              </w:rPr>
              <w:t>pertinent</w:t>
            </w:r>
            <w:r w:rsidR="004F011D">
              <w:rPr>
                <w:rFonts w:cs="Arial"/>
                <w:color w:val="000000" w:themeColor="text1"/>
                <w:sz w:val="18"/>
                <w:szCs w:val="18"/>
              </w:rPr>
              <w:t xml:space="preserve"> to</w:t>
            </w:r>
            <w:r w:rsidR="00C00E77">
              <w:rPr>
                <w:rFonts w:cs="Arial"/>
                <w:color w:val="000000" w:themeColor="text1"/>
                <w:sz w:val="18"/>
                <w:szCs w:val="18"/>
              </w:rPr>
              <w:t xml:space="preserve"> the </w:t>
            </w:r>
            <w:r w:rsidR="007705AE">
              <w:rPr>
                <w:rFonts w:cs="Arial"/>
                <w:color w:val="000000" w:themeColor="text1"/>
                <w:sz w:val="18"/>
                <w:szCs w:val="18"/>
              </w:rPr>
              <w:t>specific food under assessment</w:t>
            </w:r>
            <w:r w:rsidR="00A27A6C">
              <w:rPr>
                <w:rFonts w:cs="Arial"/>
                <w:color w:val="000000" w:themeColor="text1"/>
                <w:sz w:val="18"/>
                <w:szCs w:val="18"/>
              </w:rPr>
              <w:t>,</w:t>
            </w:r>
            <w:r w:rsidR="007705AE">
              <w:rPr>
                <w:rFonts w:cs="Arial"/>
                <w:color w:val="000000" w:themeColor="text1"/>
                <w:sz w:val="18"/>
                <w:szCs w:val="18"/>
              </w:rPr>
              <w:t xml:space="preserve"> </w:t>
            </w:r>
            <w:r>
              <w:rPr>
                <w:rFonts w:cs="Arial"/>
                <w:color w:val="000000" w:themeColor="text1"/>
                <w:sz w:val="18"/>
                <w:szCs w:val="18"/>
              </w:rPr>
              <w:t xml:space="preserve">FSANZ </w:t>
            </w:r>
            <w:r w:rsidR="00C00E77">
              <w:rPr>
                <w:rFonts w:cs="Arial"/>
                <w:color w:val="000000" w:themeColor="text1"/>
                <w:sz w:val="18"/>
                <w:szCs w:val="18"/>
              </w:rPr>
              <w:t xml:space="preserve">will carry out further investigation. This includes, but is not limited to, examining the scientific literature surrounding the issue and consulting with </w:t>
            </w:r>
            <w:r w:rsidR="004F011D">
              <w:rPr>
                <w:rFonts w:cs="Arial"/>
                <w:color w:val="000000" w:themeColor="text1"/>
                <w:sz w:val="18"/>
                <w:szCs w:val="18"/>
              </w:rPr>
              <w:t xml:space="preserve">subject matter </w:t>
            </w:r>
            <w:r w:rsidR="00C00E77">
              <w:rPr>
                <w:rFonts w:cs="Arial"/>
                <w:color w:val="000000" w:themeColor="text1"/>
                <w:sz w:val="18"/>
                <w:szCs w:val="18"/>
              </w:rPr>
              <w:t>experts.</w:t>
            </w:r>
          </w:p>
        </w:tc>
      </w:tr>
      <w:tr w:rsidR="006D465A" w:rsidRPr="00C655BA" w14:paraId="3B1FA06A" w14:textId="77777777" w:rsidTr="00D40A92">
        <w:trPr>
          <w:trHeight w:val="1286"/>
        </w:trPr>
        <w:tc>
          <w:tcPr>
            <w:tcW w:w="3256" w:type="dxa"/>
            <w:shd w:val="clear" w:color="auto" w:fill="auto"/>
          </w:tcPr>
          <w:p w14:paraId="01FD6452" w14:textId="43E96490" w:rsidR="006D465A" w:rsidRPr="00D11562" w:rsidRDefault="006D465A" w:rsidP="006D465A">
            <w:pPr>
              <w:spacing w:after="240"/>
              <w:rPr>
                <w:sz w:val="18"/>
                <w:szCs w:val="18"/>
              </w:rPr>
            </w:pPr>
            <w:r w:rsidRPr="00D11562">
              <w:rPr>
                <w:sz w:val="18"/>
                <w:szCs w:val="18"/>
              </w:rPr>
              <w:t xml:space="preserve">FSANZ fails to take into account </w:t>
            </w:r>
            <w:r>
              <w:rPr>
                <w:sz w:val="18"/>
                <w:szCs w:val="18"/>
              </w:rPr>
              <w:t>the views of Caius Rommens (former Simplot employee)</w:t>
            </w:r>
            <w:r w:rsidR="00640C12">
              <w:rPr>
                <w:sz w:val="18"/>
                <w:szCs w:val="18"/>
              </w:rPr>
              <w:t>.</w:t>
            </w:r>
          </w:p>
        </w:tc>
        <w:tc>
          <w:tcPr>
            <w:tcW w:w="1842" w:type="dxa"/>
            <w:shd w:val="clear" w:color="auto" w:fill="auto"/>
          </w:tcPr>
          <w:p w14:paraId="70FE5C20" w14:textId="5826D3AD" w:rsidR="006D465A" w:rsidRPr="00D11562" w:rsidRDefault="00C46092" w:rsidP="00C46092">
            <w:pPr>
              <w:spacing w:after="240"/>
              <w:rPr>
                <w:sz w:val="18"/>
                <w:szCs w:val="18"/>
              </w:rPr>
            </w:pPr>
            <w:r>
              <w:rPr>
                <w:sz w:val="18"/>
                <w:szCs w:val="18"/>
              </w:rPr>
              <w:t>AFSA;</w:t>
            </w:r>
            <w:r w:rsidR="00D34A47">
              <w:rPr>
                <w:sz w:val="18"/>
                <w:szCs w:val="18"/>
              </w:rPr>
              <w:t xml:space="preserve"> Private submitter (JW)</w:t>
            </w:r>
          </w:p>
        </w:tc>
        <w:tc>
          <w:tcPr>
            <w:tcW w:w="8931" w:type="dxa"/>
            <w:shd w:val="clear" w:color="auto" w:fill="auto"/>
          </w:tcPr>
          <w:p w14:paraId="25D6F54B" w14:textId="1B07C087" w:rsidR="002B1EC5" w:rsidRDefault="00640C12" w:rsidP="002B1EC5">
            <w:pPr>
              <w:pStyle w:val="ListParagraph"/>
              <w:autoSpaceDE w:val="0"/>
              <w:autoSpaceDN w:val="0"/>
              <w:adjustRightInd w:val="0"/>
              <w:spacing w:after="240"/>
              <w:ind w:left="176" w:hanging="176"/>
              <w:rPr>
                <w:sz w:val="18"/>
                <w:szCs w:val="18"/>
              </w:rPr>
            </w:pPr>
            <w:r>
              <w:rPr>
                <w:sz w:val="18"/>
                <w:szCs w:val="18"/>
              </w:rPr>
              <w:t xml:space="preserve">In 2018, </w:t>
            </w:r>
            <w:r w:rsidR="0047149D">
              <w:rPr>
                <w:sz w:val="18"/>
                <w:szCs w:val="18"/>
              </w:rPr>
              <w:t xml:space="preserve">FSANZ </w:t>
            </w:r>
            <w:r w:rsidR="00505878">
              <w:rPr>
                <w:sz w:val="18"/>
                <w:szCs w:val="18"/>
              </w:rPr>
              <w:t xml:space="preserve">considered </w:t>
            </w:r>
            <w:r w:rsidR="0047149D">
              <w:rPr>
                <w:sz w:val="18"/>
                <w:szCs w:val="18"/>
              </w:rPr>
              <w:t xml:space="preserve">the food safety </w:t>
            </w:r>
            <w:r w:rsidR="00505878">
              <w:rPr>
                <w:sz w:val="18"/>
                <w:szCs w:val="18"/>
              </w:rPr>
              <w:t>concerns raised</w:t>
            </w:r>
            <w:r w:rsidR="0047149D">
              <w:rPr>
                <w:sz w:val="18"/>
                <w:szCs w:val="18"/>
              </w:rPr>
              <w:t xml:space="preserve"> by Caius Rommens</w:t>
            </w:r>
            <w:r w:rsidR="004837C0">
              <w:rPr>
                <w:sz w:val="18"/>
                <w:szCs w:val="18"/>
              </w:rPr>
              <w:t xml:space="preserve">, </w:t>
            </w:r>
            <w:r w:rsidR="007705AE">
              <w:rPr>
                <w:sz w:val="18"/>
                <w:szCs w:val="18"/>
              </w:rPr>
              <w:t>in</w:t>
            </w:r>
            <w:r w:rsidR="004837C0">
              <w:rPr>
                <w:sz w:val="18"/>
                <w:szCs w:val="18"/>
              </w:rPr>
              <w:t xml:space="preserve"> his</w:t>
            </w:r>
            <w:r w:rsidR="00813E49">
              <w:rPr>
                <w:sz w:val="18"/>
                <w:szCs w:val="18"/>
              </w:rPr>
              <w:t xml:space="preserve"> </w:t>
            </w:r>
            <w:r w:rsidR="0047149D">
              <w:rPr>
                <w:sz w:val="18"/>
                <w:szCs w:val="18"/>
              </w:rPr>
              <w:t xml:space="preserve">book ‘Pandora’s Potatoes’. </w:t>
            </w:r>
            <w:r w:rsidR="001D0D2F">
              <w:rPr>
                <w:sz w:val="18"/>
                <w:szCs w:val="18"/>
              </w:rPr>
              <w:t xml:space="preserve">The </w:t>
            </w:r>
            <w:r w:rsidR="00505878">
              <w:rPr>
                <w:sz w:val="18"/>
                <w:szCs w:val="18"/>
              </w:rPr>
              <w:t xml:space="preserve">concerns </w:t>
            </w:r>
            <w:r w:rsidR="002B1EC5">
              <w:rPr>
                <w:sz w:val="18"/>
                <w:szCs w:val="18"/>
              </w:rPr>
              <w:t xml:space="preserve">relate to </w:t>
            </w:r>
            <w:r w:rsidR="004F011D">
              <w:rPr>
                <w:rFonts w:cs="Arial"/>
                <w:color w:val="000000" w:themeColor="text1"/>
                <w:sz w:val="18"/>
                <w:szCs w:val="18"/>
              </w:rPr>
              <w:t>Simplot</w:t>
            </w:r>
            <w:r>
              <w:rPr>
                <w:rFonts w:cs="Arial"/>
                <w:color w:val="000000" w:themeColor="text1"/>
                <w:sz w:val="18"/>
                <w:szCs w:val="18"/>
              </w:rPr>
              <w:t>’s</w:t>
            </w:r>
            <w:r w:rsidR="001D0D2F">
              <w:rPr>
                <w:sz w:val="18"/>
                <w:szCs w:val="18"/>
              </w:rPr>
              <w:t xml:space="preserve"> </w:t>
            </w:r>
            <w:r w:rsidR="002B1EC5">
              <w:rPr>
                <w:sz w:val="18"/>
                <w:szCs w:val="18"/>
              </w:rPr>
              <w:t>Innate potato brand</w:t>
            </w:r>
            <w:r w:rsidR="00015955">
              <w:rPr>
                <w:sz w:val="18"/>
                <w:szCs w:val="18"/>
              </w:rPr>
              <w:t xml:space="preserve"> </w:t>
            </w:r>
            <w:r w:rsidR="00505878">
              <w:rPr>
                <w:sz w:val="18"/>
                <w:szCs w:val="18"/>
              </w:rPr>
              <w:t xml:space="preserve">and </w:t>
            </w:r>
            <w:r w:rsidR="00015955">
              <w:rPr>
                <w:sz w:val="18"/>
                <w:szCs w:val="18"/>
              </w:rPr>
              <w:t xml:space="preserve">genetic modifications such as the </w:t>
            </w:r>
            <w:r w:rsidR="00015955" w:rsidRPr="002B1EC5">
              <w:rPr>
                <w:sz w:val="18"/>
                <w:szCs w:val="18"/>
              </w:rPr>
              <w:t xml:space="preserve">reduced </w:t>
            </w:r>
            <w:r w:rsidR="00205BD3">
              <w:rPr>
                <w:sz w:val="18"/>
                <w:szCs w:val="18"/>
              </w:rPr>
              <w:t>blackspot</w:t>
            </w:r>
            <w:r w:rsidR="00015955" w:rsidRPr="002B1EC5">
              <w:rPr>
                <w:sz w:val="18"/>
                <w:szCs w:val="18"/>
              </w:rPr>
              <w:t xml:space="preserve"> trait</w:t>
            </w:r>
            <w:r w:rsidR="00015955">
              <w:rPr>
                <w:sz w:val="18"/>
                <w:szCs w:val="18"/>
              </w:rPr>
              <w:t xml:space="preserve">. </w:t>
            </w:r>
            <w:r w:rsidR="004B31BF">
              <w:rPr>
                <w:sz w:val="18"/>
                <w:szCs w:val="18"/>
              </w:rPr>
              <w:t>In</w:t>
            </w:r>
            <w:r w:rsidR="00505878">
              <w:rPr>
                <w:sz w:val="18"/>
                <w:szCs w:val="18"/>
              </w:rPr>
              <w:t xml:space="preserve"> FSANZ</w:t>
            </w:r>
            <w:r w:rsidR="004B31BF">
              <w:rPr>
                <w:sz w:val="18"/>
                <w:szCs w:val="18"/>
              </w:rPr>
              <w:t>’s view</w:t>
            </w:r>
            <w:r w:rsidR="004645C0">
              <w:rPr>
                <w:sz w:val="18"/>
                <w:szCs w:val="18"/>
              </w:rPr>
              <w:t>,</w:t>
            </w:r>
            <w:r w:rsidR="00505878">
              <w:rPr>
                <w:sz w:val="18"/>
                <w:szCs w:val="18"/>
              </w:rPr>
              <w:t xml:space="preserve"> the concerns raised are based on very broad assumptions and</w:t>
            </w:r>
            <w:r w:rsidR="003A6248">
              <w:rPr>
                <w:sz w:val="18"/>
                <w:szCs w:val="18"/>
              </w:rPr>
              <w:t xml:space="preserve"> </w:t>
            </w:r>
            <w:r w:rsidR="004B31BF">
              <w:rPr>
                <w:sz w:val="18"/>
                <w:szCs w:val="18"/>
              </w:rPr>
              <w:t xml:space="preserve">FSANZ found </w:t>
            </w:r>
            <w:r w:rsidR="00505878">
              <w:rPr>
                <w:sz w:val="18"/>
                <w:szCs w:val="18"/>
              </w:rPr>
              <w:t xml:space="preserve">little </w:t>
            </w:r>
            <w:r w:rsidR="002644A4">
              <w:rPr>
                <w:sz w:val="18"/>
                <w:szCs w:val="18"/>
              </w:rPr>
              <w:t xml:space="preserve">scientific </w:t>
            </w:r>
            <w:r w:rsidR="003A6248">
              <w:rPr>
                <w:sz w:val="18"/>
                <w:szCs w:val="18"/>
              </w:rPr>
              <w:t>evidence</w:t>
            </w:r>
            <w:r w:rsidR="00505878">
              <w:rPr>
                <w:sz w:val="18"/>
                <w:szCs w:val="18"/>
              </w:rPr>
              <w:t xml:space="preserve"> to support such claims</w:t>
            </w:r>
            <w:r w:rsidR="003A6248">
              <w:rPr>
                <w:sz w:val="18"/>
                <w:szCs w:val="18"/>
              </w:rPr>
              <w:t>.</w:t>
            </w:r>
          </w:p>
          <w:p w14:paraId="5B84CCAB" w14:textId="77777777" w:rsidR="003A6248" w:rsidRPr="002B1EC5" w:rsidRDefault="003A6248" w:rsidP="002B1EC5">
            <w:pPr>
              <w:pStyle w:val="ListParagraph"/>
              <w:autoSpaceDE w:val="0"/>
              <w:autoSpaceDN w:val="0"/>
              <w:adjustRightInd w:val="0"/>
              <w:spacing w:after="240"/>
              <w:ind w:left="176" w:hanging="176"/>
              <w:rPr>
                <w:sz w:val="18"/>
                <w:szCs w:val="18"/>
              </w:rPr>
            </w:pPr>
          </w:p>
          <w:p w14:paraId="6C90FB10" w14:textId="0AFC0FDA" w:rsidR="002B1EC5" w:rsidRDefault="00AB71A7" w:rsidP="002B1EC5">
            <w:pPr>
              <w:pStyle w:val="ListParagraph"/>
              <w:autoSpaceDE w:val="0"/>
              <w:autoSpaceDN w:val="0"/>
              <w:adjustRightInd w:val="0"/>
              <w:spacing w:after="240"/>
              <w:ind w:left="176" w:hanging="176"/>
              <w:rPr>
                <w:rFonts w:cs="Arial"/>
                <w:color w:val="000000" w:themeColor="text1"/>
                <w:sz w:val="18"/>
                <w:szCs w:val="18"/>
              </w:rPr>
            </w:pPr>
            <w:r w:rsidRPr="0047149D">
              <w:rPr>
                <w:rFonts w:cs="Arial"/>
                <w:color w:val="000000" w:themeColor="text1"/>
                <w:sz w:val="18"/>
                <w:szCs w:val="18"/>
              </w:rPr>
              <w:t xml:space="preserve">Some of </w:t>
            </w:r>
            <w:r w:rsidR="00505878">
              <w:rPr>
                <w:rFonts w:cs="Arial"/>
                <w:color w:val="000000" w:themeColor="text1"/>
                <w:sz w:val="18"/>
                <w:szCs w:val="18"/>
              </w:rPr>
              <w:t xml:space="preserve">the concerns raised in Pandora’s Potatoes </w:t>
            </w:r>
            <w:r w:rsidRPr="0047149D">
              <w:rPr>
                <w:rFonts w:cs="Arial"/>
                <w:color w:val="000000" w:themeColor="text1"/>
                <w:sz w:val="18"/>
                <w:szCs w:val="18"/>
              </w:rPr>
              <w:t xml:space="preserve">have been </w:t>
            </w:r>
            <w:r w:rsidR="00505878">
              <w:rPr>
                <w:rFonts w:cs="Arial"/>
                <w:color w:val="000000" w:themeColor="text1"/>
                <w:sz w:val="18"/>
                <w:szCs w:val="18"/>
              </w:rPr>
              <w:t>raised</w:t>
            </w:r>
            <w:r w:rsidR="00505878" w:rsidRPr="0047149D">
              <w:rPr>
                <w:rFonts w:cs="Arial"/>
                <w:color w:val="000000" w:themeColor="text1"/>
                <w:sz w:val="18"/>
                <w:szCs w:val="18"/>
              </w:rPr>
              <w:t xml:space="preserve"> </w:t>
            </w:r>
            <w:r w:rsidRPr="0047149D">
              <w:rPr>
                <w:rFonts w:cs="Arial"/>
                <w:color w:val="000000" w:themeColor="text1"/>
                <w:sz w:val="18"/>
                <w:szCs w:val="18"/>
              </w:rPr>
              <w:t>in submissions to FSANZ including concealed bruise, concealed disease</w:t>
            </w:r>
            <w:r w:rsidR="00472D0F">
              <w:rPr>
                <w:rFonts w:cs="Arial"/>
                <w:color w:val="000000" w:themeColor="text1"/>
                <w:sz w:val="18"/>
                <w:szCs w:val="18"/>
              </w:rPr>
              <w:t>, unintended effects</w:t>
            </w:r>
            <w:r w:rsidRPr="0047149D">
              <w:rPr>
                <w:rFonts w:cs="Arial"/>
                <w:color w:val="000000" w:themeColor="text1"/>
                <w:sz w:val="18"/>
                <w:szCs w:val="18"/>
              </w:rPr>
              <w:t xml:space="preserve"> and elevated levels of </w:t>
            </w:r>
            <w:r w:rsidR="00530148" w:rsidRPr="0047149D">
              <w:rPr>
                <w:rFonts w:cs="Arial"/>
                <w:color w:val="000000" w:themeColor="text1"/>
                <w:sz w:val="18"/>
                <w:szCs w:val="18"/>
              </w:rPr>
              <w:t>tyramine</w:t>
            </w:r>
            <w:r w:rsidR="00530148">
              <w:rPr>
                <w:rFonts w:cs="Arial"/>
                <w:color w:val="000000" w:themeColor="text1"/>
                <w:sz w:val="18"/>
                <w:szCs w:val="18"/>
              </w:rPr>
              <w:t>,</w:t>
            </w:r>
            <w:r w:rsidRPr="0047149D">
              <w:rPr>
                <w:rFonts w:cs="Arial"/>
                <w:color w:val="000000" w:themeColor="text1"/>
                <w:sz w:val="18"/>
                <w:szCs w:val="18"/>
              </w:rPr>
              <w:t xml:space="preserve"> α-aminoadipate</w:t>
            </w:r>
            <w:r w:rsidR="00C54E99">
              <w:rPr>
                <w:rFonts w:cs="Arial"/>
                <w:color w:val="000000" w:themeColor="text1"/>
                <w:sz w:val="18"/>
                <w:szCs w:val="18"/>
              </w:rPr>
              <w:t xml:space="preserve"> and</w:t>
            </w:r>
            <w:r w:rsidR="00530148">
              <w:rPr>
                <w:rFonts w:cs="Arial"/>
                <w:color w:val="000000" w:themeColor="text1"/>
                <w:sz w:val="18"/>
                <w:szCs w:val="18"/>
              </w:rPr>
              <w:t xml:space="preserve"> </w:t>
            </w:r>
            <w:r w:rsidR="00C54E99">
              <w:rPr>
                <w:sz w:val="18"/>
                <w:szCs w:val="18"/>
              </w:rPr>
              <w:t>c</w:t>
            </w:r>
            <w:r w:rsidR="00530148">
              <w:rPr>
                <w:sz w:val="18"/>
                <w:szCs w:val="18"/>
              </w:rPr>
              <w:t>haconine-malonyl</w:t>
            </w:r>
            <w:r w:rsidRPr="00530148">
              <w:rPr>
                <w:rFonts w:cs="Arial"/>
                <w:sz w:val="18"/>
                <w:szCs w:val="18"/>
              </w:rPr>
              <w:t xml:space="preserve">. </w:t>
            </w:r>
            <w:r w:rsidRPr="0047149D">
              <w:rPr>
                <w:rFonts w:cs="Arial"/>
                <w:color w:val="000000" w:themeColor="text1"/>
                <w:sz w:val="18"/>
                <w:szCs w:val="18"/>
              </w:rPr>
              <w:t xml:space="preserve">FSANZ has </w:t>
            </w:r>
            <w:r w:rsidR="00505878">
              <w:rPr>
                <w:rFonts w:cs="Arial"/>
                <w:color w:val="000000" w:themeColor="text1"/>
                <w:sz w:val="18"/>
                <w:szCs w:val="18"/>
              </w:rPr>
              <w:t>addressed</w:t>
            </w:r>
            <w:r w:rsidRPr="0047149D">
              <w:rPr>
                <w:rFonts w:cs="Arial"/>
                <w:color w:val="000000" w:themeColor="text1"/>
                <w:sz w:val="18"/>
                <w:szCs w:val="18"/>
              </w:rPr>
              <w:t xml:space="preserve"> </w:t>
            </w:r>
            <w:r w:rsidR="00585B45">
              <w:rPr>
                <w:rFonts w:cs="Arial"/>
                <w:color w:val="000000" w:themeColor="text1"/>
                <w:sz w:val="18"/>
                <w:szCs w:val="18"/>
              </w:rPr>
              <w:t xml:space="preserve">these </w:t>
            </w:r>
            <w:r w:rsidRPr="0047149D">
              <w:rPr>
                <w:rFonts w:cs="Arial"/>
                <w:color w:val="000000" w:themeColor="text1"/>
                <w:sz w:val="18"/>
                <w:szCs w:val="18"/>
              </w:rPr>
              <w:t>issues below.</w:t>
            </w:r>
          </w:p>
          <w:p w14:paraId="7F5AE7FC" w14:textId="77777777" w:rsidR="00015955" w:rsidRDefault="00015955" w:rsidP="002B1EC5">
            <w:pPr>
              <w:pStyle w:val="ListParagraph"/>
              <w:autoSpaceDE w:val="0"/>
              <w:autoSpaceDN w:val="0"/>
              <w:adjustRightInd w:val="0"/>
              <w:spacing w:after="240"/>
              <w:ind w:left="176" w:hanging="176"/>
              <w:rPr>
                <w:rFonts w:cs="Arial"/>
                <w:color w:val="000000" w:themeColor="text1"/>
                <w:sz w:val="18"/>
                <w:szCs w:val="18"/>
              </w:rPr>
            </w:pPr>
          </w:p>
          <w:p w14:paraId="69213C9F" w14:textId="60F34464" w:rsidR="006D465A" w:rsidRPr="004F4645" w:rsidRDefault="001D0D2F" w:rsidP="004F4645">
            <w:pPr>
              <w:pStyle w:val="ListParagraph"/>
              <w:autoSpaceDE w:val="0"/>
              <w:autoSpaceDN w:val="0"/>
              <w:adjustRightInd w:val="0"/>
              <w:spacing w:after="240"/>
              <w:ind w:left="176" w:hanging="176"/>
              <w:rPr>
                <w:sz w:val="18"/>
                <w:szCs w:val="18"/>
              </w:rPr>
            </w:pPr>
            <w:r w:rsidRPr="002B1EC5">
              <w:rPr>
                <w:sz w:val="18"/>
                <w:szCs w:val="18"/>
              </w:rPr>
              <w:t xml:space="preserve">The </w:t>
            </w:r>
            <w:r w:rsidR="00505878">
              <w:rPr>
                <w:sz w:val="18"/>
                <w:szCs w:val="18"/>
              </w:rPr>
              <w:t>claims made</w:t>
            </w:r>
            <w:r w:rsidRPr="002B1EC5">
              <w:rPr>
                <w:sz w:val="18"/>
                <w:szCs w:val="18"/>
              </w:rPr>
              <w:t xml:space="preserve"> </w:t>
            </w:r>
            <w:r w:rsidR="00DF74FB">
              <w:rPr>
                <w:sz w:val="18"/>
                <w:szCs w:val="18"/>
              </w:rPr>
              <w:t xml:space="preserve">by Caius Rommens </w:t>
            </w:r>
            <w:r w:rsidRPr="002B1EC5">
              <w:rPr>
                <w:sz w:val="18"/>
                <w:szCs w:val="18"/>
              </w:rPr>
              <w:t xml:space="preserve">do not change </w:t>
            </w:r>
            <w:r w:rsidR="00505878">
              <w:rPr>
                <w:sz w:val="18"/>
                <w:szCs w:val="18"/>
              </w:rPr>
              <w:t>FSANZ’s</w:t>
            </w:r>
            <w:r w:rsidR="00505878" w:rsidRPr="002B1EC5">
              <w:rPr>
                <w:sz w:val="18"/>
                <w:szCs w:val="18"/>
              </w:rPr>
              <w:t xml:space="preserve"> </w:t>
            </w:r>
            <w:r w:rsidRPr="002B1EC5">
              <w:rPr>
                <w:sz w:val="18"/>
                <w:szCs w:val="18"/>
              </w:rPr>
              <w:t xml:space="preserve">conclusion that </w:t>
            </w:r>
            <w:r w:rsidR="002B1EC5">
              <w:rPr>
                <w:sz w:val="18"/>
                <w:szCs w:val="18"/>
              </w:rPr>
              <w:t xml:space="preserve">food derived from </w:t>
            </w:r>
            <w:r w:rsidRPr="002B1EC5">
              <w:rPr>
                <w:sz w:val="18"/>
                <w:szCs w:val="18"/>
              </w:rPr>
              <w:t xml:space="preserve">potato lines V11 and Z6 </w:t>
            </w:r>
            <w:r w:rsidR="002B1EC5">
              <w:rPr>
                <w:sz w:val="18"/>
                <w:szCs w:val="18"/>
              </w:rPr>
              <w:t>is</w:t>
            </w:r>
            <w:r w:rsidRPr="002B1EC5">
              <w:rPr>
                <w:sz w:val="18"/>
                <w:szCs w:val="18"/>
              </w:rPr>
              <w:t xml:space="preserve"> </w:t>
            </w:r>
            <w:r w:rsidR="002B1EC5" w:rsidRPr="002B1EC5">
              <w:rPr>
                <w:sz w:val="18"/>
                <w:szCs w:val="18"/>
              </w:rPr>
              <w:t xml:space="preserve">as safe for human consumption as food derived from </w:t>
            </w:r>
            <w:r w:rsidR="00CC5D01">
              <w:rPr>
                <w:sz w:val="18"/>
                <w:szCs w:val="18"/>
              </w:rPr>
              <w:t>non-GM</w:t>
            </w:r>
            <w:r w:rsidR="00CC5D01" w:rsidRPr="002B1EC5">
              <w:rPr>
                <w:sz w:val="18"/>
                <w:szCs w:val="18"/>
              </w:rPr>
              <w:t xml:space="preserve"> </w:t>
            </w:r>
            <w:r w:rsidR="002B1EC5" w:rsidRPr="002B1EC5">
              <w:rPr>
                <w:sz w:val="18"/>
                <w:szCs w:val="18"/>
              </w:rPr>
              <w:t>potato cultivars.</w:t>
            </w:r>
          </w:p>
        </w:tc>
      </w:tr>
      <w:tr w:rsidR="006D465A" w:rsidRPr="00C655BA" w14:paraId="1DFAECE4" w14:textId="77777777" w:rsidTr="00D40A92">
        <w:trPr>
          <w:trHeight w:val="1286"/>
        </w:trPr>
        <w:tc>
          <w:tcPr>
            <w:tcW w:w="3256" w:type="dxa"/>
            <w:shd w:val="clear" w:color="auto" w:fill="auto"/>
          </w:tcPr>
          <w:p w14:paraId="6B049863" w14:textId="01054E53" w:rsidR="006D465A" w:rsidRDefault="003451F2" w:rsidP="00A81D64">
            <w:pPr>
              <w:spacing w:after="240"/>
              <w:rPr>
                <w:sz w:val="18"/>
                <w:szCs w:val="18"/>
              </w:rPr>
            </w:pPr>
            <w:r>
              <w:rPr>
                <w:sz w:val="18"/>
                <w:szCs w:val="18"/>
              </w:rPr>
              <w:t xml:space="preserve">Since the </w:t>
            </w:r>
            <w:r w:rsidR="00FA58F0">
              <w:rPr>
                <w:sz w:val="18"/>
                <w:szCs w:val="18"/>
              </w:rPr>
              <w:t>polyphenol oxidase (</w:t>
            </w:r>
            <w:r>
              <w:rPr>
                <w:sz w:val="18"/>
                <w:szCs w:val="18"/>
              </w:rPr>
              <w:t>PPO</w:t>
            </w:r>
            <w:r w:rsidR="00FA58F0">
              <w:rPr>
                <w:sz w:val="18"/>
                <w:szCs w:val="18"/>
              </w:rPr>
              <w:t>)</w:t>
            </w:r>
            <w:r>
              <w:rPr>
                <w:sz w:val="18"/>
                <w:szCs w:val="18"/>
              </w:rPr>
              <w:t xml:space="preserve"> enzyme is silenced in potato lines V11 and Z6 bruising will be concealed</w:t>
            </w:r>
            <w:r w:rsidR="00A81D64">
              <w:rPr>
                <w:sz w:val="18"/>
                <w:szCs w:val="18"/>
              </w:rPr>
              <w:t xml:space="preserve"> </w:t>
            </w:r>
            <w:r>
              <w:rPr>
                <w:sz w:val="18"/>
                <w:szCs w:val="18"/>
              </w:rPr>
              <w:t>and bruises can accumulate tyramine and other toxins</w:t>
            </w:r>
            <w:r w:rsidR="00A81D64">
              <w:rPr>
                <w:sz w:val="18"/>
                <w:szCs w:val="18"/>
              </w:rPr>
              <w:t>; consumers will not be able to reject damaged potato products</w:t>
            </w:r>
            <w:r w:rsidR="00640C12">
              <w:rPr>
                <w:sz w:val="18"/>
                <w:szCs w:val="18"/>
              </w:rPr>
              <w:t>.</w:t>
            </w:r>
          </w:p>
        </w:tc>
        <w:tc>
          <w:tcPr>
            <w:tcW w:w="1842" w:type="dxa"/>
            <w:shd w:val="clear" w:color="auto" w:fill="auto"/>
          </w:tcPr>
          <w:p w14:paraId="2A56F345" w14:textId="5BF725A3" w:rsidR="006D465A" w:rsidRDefault="00D34A47" w:rsidP="006D465A">
            <w:pPr>
              <w:spacing w:after="240"/>
              <w:rPr>
                <w:sz w:val="18"/>
                <w:szCs w:val="18"/>
              </w:rPr>
            </w:pPr>
            <w:r>
              <w:rPr>
                <w:sz w:val="18"/>
                <w:szCs w:val="18"/>
              </w:rPr>
              <w:t>Private submitter (JW)</w:t>
            </w:r>
          </w:p>
        </w:tc>
        <w:tc>
          <w:tcPr>
            <w:tcW w:w="8931" w:type="dxa"/>
            <w:shd w:val="clear" w:color="auto" w:fill="auto"/>
          </w:tcPr>
          <w:p w14:paraId="66F7FD21" w14:textId="61D02034" w:rsidR="009057FA" w:rsidRDefault="00193971" w:rsidP="00C80966">
            <w:pPr>
              <w:pStyle w:val="ListParagraph"/>
              <w:autoSpaceDE w:val="0"/>
              <w:autoSpaceDN w:val="0"/>
              <w:adjustRightInd w:val="0"/>
              <w:spacing w:after="240"/>
              <w:ind w:left="176" w:hanging="176"/>
              <w:rPr>
                <w:sz w:val="18"/>
                <w:szCs w:val="18"/>
              </w:rPr>
            </w:pPr>
            <w:r>
              <w:rPr>
                <w:sz w:val="18"/>
                <w:szCs w:val="18"/>
              </w:rPr>
              <w:t>P</w:t>
            </w:r>
            <w:r w:rsidR="009057FA">
              <w:rPr>
                <w:sz w:val="18"/>
                <w:szCs w:val="18"/>
              </w:rPr>
              <w:t>otato tubers can exhibit</w:t>
            </w:r>
            <w:r w:rsidR="00052E99">
              <w:rPr>
                <w:sz w:val="18"/>
                <w:szCs w:val="18"/>
              </w:rPr>
              <w:t xml:space="preserve"> different types of bruising. </w:t>
            </w:r>
            <w:r w:rsidR="00B401B9" w:rsidRPr="00B401B9">
              <w:rPr>
                <w:sz w:val="18"/>
                <w:szCs w:val="18"/>
              </w:rPr>
              <w:t>Blackspot</w:t>
            </w:r>
            <w:r w:rsidR="00F2720F">
              <w:rPr>
                <w:sz w:val="18"/>
                <w:szCs w:val="18"/>
              </w:rPr>
              <w:t xml:space="preserve"> </w:t>
            </w:r>
            <w:r w:rsidR="00B401B9" w:rsidRPr="00B401B9">
              <w:rPr>
                <w:sz w:val="18"/>
                <w:szCs w:val="18"/>
              </w:rPr>
              <w:t>is the</w:t>
            </w:r>
            <w:r w:rsidR="009110F9">
              <w:rPr>
                <w:sz w:val="18"/>
                <w:szCs w:val="18"/>
              </w:rPr>
              <w:t xml:space="preserve"> brown</w:t>
            </w:r>
            <w:r w:rsidR="00B401B9" w:rsidRPr="00B401B9">
              <w:rPr>
                <w:sz w:val="18"/>
                <w:szCs w:val="18"/>
              </w:rPr>
              <w:t xml:space="preserve"> discolouration that sometimes forms in </w:t>
            </w:r>
            <w:r w:rsidR="002D4177">
              <w:rPr>
                <w:sz w:val="18"/>
                <w:szCs w:val="18"/>
              </w:rPr>
              <w:t>bruised</w:t>
            </w:r>
            <w:r w:rsidR="00B401B9" w:rsidRPr="00B401B9">
              <w:rPr>
                <w:sz w:val="18"/>
                <w:szCs w:val="18"/>
              </w:rPr>
              <w:t xml:space="preserve"> potatoes and is associated with PPO</w:t>
            </w:r>
            <w:r w:rsidR="00B401B9">
              <w:rPr>
                <w:sz w:val="18"/>
                <w:szCs w:val="18"/>
              </w:rPr>
              <w:t xml:space="preserve"> activity. </w:t>
            </w:r>
            <w:r w:rsidR="002D4177">
              <w:rPr>
                <w:sz w:val="18"/>
                <w:szCs w:val="18"/>
              </w:rPr>
              <w:t>T</w:t>
            </w:r>
            <w:r w:rsidR="00B401B9" w:rsidRPr="00B401B9">
              <w:rPr>
                <w:sz w:val="18"/>
                <w:szCs w:val="18"/>
              </w:rPr>
              <w:t xml:space="preserve">his </w:t>
            </w:r>
            <w:r w:rsidR="009110F9">
              <w:rPr>
                <w:sz w:val="18"/>
                <w:szCs w:val="18"/>
              </w:rPr>
              <w:t>browning</w:t>
            </w:r>
            <w:r w:rsidR="00B401B9" w:rsidRPr="00B401B9">
              <w:rPr>
                <w:sz w:val="18"/>
                <w:szCs w:val="18"/>
              </w:rPr>
              <w:t xml:space="preserve"> </w:t>
            </w:r>
            <w:r w:rsidR="0024625A">
              <w:rPr>
                <w:sz w:val="18"/>
                <w:szCs w:val="18"/>
              </w:rPr>
              <w:t>is superficial</w:t>
            </w:r>
            <w:r w:rsidR="00732389">
              <w:rPr>
                <w:sz w:val="18"/>
                <w:szCs w:val="18"/>
              </w:rPr>
              <w:t xml:space="preserve">, below the skin surface and </w:t>
            </w:r>
            <w:r w:rsidR="00472D0F">
              <w:rPr>
                <w:sz w:val="18"/>
                <w:szCs w:val="18"/>
              </w:rPr>
              <w:t>without skin breakage</w:t>
            </w:r>
            <w:r w:rsidR="009173A3">
              <w:rPr>
                <w:sz w:val="18"/>
                <w:szCs w:val="18"/>
              </w:rPr>
              <w:t xml:space="preserve">. The blackspot </w:t>
            </w:r>
            <w:r w:rsidR="00B401B9" w:rsidRPr="00B401B9">
              <w:rPr>
                <w:sz w:val="18"/>
                <w:szCs w:val="18"/>
              </w:rPr>
              <w:t>results in reduced organoleptic properties</w:t>
            </w:r>
            <w:r w:rsidR="00FB0C92">
              <w:rPr>
                <w:sz w:val="18"/>
                <w:szCs w:val="18"/>
              </w:rPr>
              <w:t xml:space="preserve"> and occurs independently of signs of spoilage. The discolouration is normally removed during preparation (at home) or processing (commercially) only because it is visually unappealing in the potato, not because it is indicative of a safety concern. </w:t>
            </w:r>
            <w:r w:rsidR="009173A3">
              <w:rPr>
                <w:sz w:val="18"/>
                <w:szCs w:val="18"/>
              </w:rPr>
              <w:t>Unlike blackspot</w:t>
            </w:r>
            <w:r w:rsidR="00472D0F">
              <w:rPr>
                <w:sz w:val="18"/>
                <w:szCs w:val="18"/>
              </w:rPr>
              <w:t xml:space="preserve"> bruising</w:t>
            </w:r>
            <w:r w:rsidR="009173A3">
              <w:rPr>
                <w:sz w:val="18"/>
                <w:szCs w:val="18"/>
              </w:rPr>
              <w:t>, s</w:t>
            </w:r>
            <w:r w:rsidR="00052E99">
              <w:rPr>
                <w:sz w:val="18"/>
                <w:szCs w:val="18"/>
              </w:rPr>
              <w:t xml:space="preserve">hatter bruising </w:t>
            </w:r>
            <w:r w:rsidR="009173A3">
              <w:rPr>
                <w:sz w:val="18"/>
                <w:szCs w:val="18"/>
              </w:rPr>
              <w:t xml:space="preserve">appears as </w:t>
            </w:r>
            <w:r w:rsidR="00C80966">
              <w:rPr>
                <w:sz w:val="18"/>
                <w:szCs w:val="18"/>
              </w:rPr>
              <w:t xml:space="preserve">damage or </w:t>
            </w:r>
            <w:r w:rsidR="009173A3">
              <w:rPr>
                <w:sz w:val="18"/>
                <w:szCs w:val="18"/>
              </w:rPr>
              <w:t xml:space="preserve">cracks </w:t>
            </w:r>
            <w:r w:rsidR="00114E35">
              <w:rPr>
                <w:sz w:val="18"/>
                <w:szCs w:val="18"/>
              </w:rPr>
              <w:t>in the skin and pressure bruising</w:t>
            </w:r>
            <w:r w:rsidR="009173A3">
              <w:rPr>
                <w:sz w:val="18"/>
                <w:szCs w:val="18"/>
              </w:rPr>
              <w:t xml:space="preserve"> damages tissue inside the tuber and the potatoes </w:t>
            </w:r>
            <w:r w:rsidR="00114E35">
              <w:rPr>
                <w:sz w:val="18"/>
                <w:szCs w:val="18"/>
              </w:rPr>
              <w:t>become soft.</w:t>
            </w:r>
            <w:r w:rsidR="00E32AF6">
              <w:rPr>
                <w:sz w:val="18"/>
                <w:szCs w:val="18"/>
              </w:rPr>
              <w:t xml:space="preserve"> </w:t>
            </w:r>
          </w:p>
          <w:p w14:paraId="2710FFBA" w14:textId="77777777" w:rsidR="00C80966" w:rsidRDefault="00C80966" w:rsidP="00C80966">
            <w:pPr>
              <w:pStyle w:val="ListParagraph"/>
              <w:autoSpaceDE w:val="0"/>
              <w:autoSpaceDN w:val="0"/>
              <w:adjustRightInd w:val="0"/>
              <w:spacing w:after="240"/>
              <w:ind w:left="176" w:hanging="176"/>
              <w:rPr>
                <w:sz w:val="18"/>
                <w:szCs w:val="18"/>
              </w:rPr>
            </w:pPr>
          </w:p>
          <w:p w14:paraId="6A05429C" w14:textId="4B82012F" w:rsidR="00EF62E2" w:rsidRDefault="003A6248" w:rsidP="00741C28">
            <w:pPr>
              <w:pStyle w:val="ListParagraph"/>
              <w:autoSpaceDE w:val="0"/>
              <w:autoSpaceDN w:val="0"/>
              <w:adjustRightInd w:val="0"/>
              <w:spacing w:after="240"/>
              <w:ind w:left="176" w:hanging="176"/>
              <w:rPr>
                <w:sz w:val="18"/>
                <w:szCs w:val="18"/>
              </w:rPr>
            </w:pPr>
            <w:r>
              <w:rPr>
                <w:sz w:val="18"/>
                <w:szCs w:val="18"/>
              </w:rPr>
              <w:t>Damaged potatoes generally do not reach consumers as p</w:t>
            </w:r>
            <w:r w:rsidR="00B401B9">
              <w:rPr>
                <w:sz w:val="18"/>
                <w:szCs w:val="18"/>
              </w:rPr>
              <w:t>roduct quality check</w:t>
            </w:r>
            <w:r w:rsidR="00FB0C92">
              <w:rPr>
                <w:sz w:val="18"/>
                <w:szCs w:val="18"/>
              </w:rPr>
              <w:t>s</w:t>
            </w:r>
            <w:r w:rsidR="00B401B9">
              <w:rPr>
                <w:sz w:val="18"/>
                <w:szCs w:val="18"/>
              </w:rPr>
              <w:t xml:space="preserve"> in the food supply chain would</w:t>
            </w:r>
            <w:r w:rsidR="009110F9">
              <w:rPr>
                <w:sz w:val="18"/>
                <w:szCs w:val="18"/>
              </w:rPr>
              <w:t xml:space="preserve"> be able to detect and</w:t>
            </w:r>
            <w:r w:rsidR="00B401B9">
              <w:rPr>
                <w:sz w:val="18"/>
                <w:szCs w:val="18"/>
              </w:rPr>
              <w:t xml:space="preserve"> remove potatoes </w:t>
            </w:r>
            <w:r w:rsidR="005E4D69">
              <w:rPr>
                <w:sz w:val="18"/>
                <w:szCs w:val="18"/>
              </w:rPr>
              <w:t>that contain</w:t>
            </w:r>
            <w:r w:rsidR="009057FA">
              <w:rPr>
                <w:sz w:val="18"/>
                <w:szCs w:val="18"/>
              </w:rPr>
              <w:t xml:space="preserve"> large cracks,</w:t>
            </w:r>
            <w:r w:rsidR="00C44C6E">
              <w:rPr>
                <w:sz w:val="18"/>
                <w:szCs w:val="18"/>
              </w:rPr>
              <w:t xml:space="preserve"> rotten</w:t>
            </w:r>
            <w:r w:rsidR="005E4D69">
              <w:rPr>
                <w:sz w:val="18"/>
                <w:szCs w:val="18"/>
              </w:rPr>
              <w:t>, fermented</w:t>
            </w:r>
            <w:r w:rsidR="00C44C6E">
              <w:rPr>
                <w:sz w:val="18"/>
                <w:szCs w:val="18"/>
              </w:rPr>
              <w:t xml:space="preserve"> or</w:t>
            </w:r>
            <w:r w:rsidR="00B401B9">
              <w:rPr>
                <w:sz w:val="18"/>
                <w:szCs w:val="18"/>
              </w:rPr>
              <w:t xml:space="preserve"> soft</w:t>
            </w:r>
            <w:r w:rsidR="005E4D69">
              <w:rPr>
                <w:sz w:val="18"/>
                <w:szCs w:val="18"/>
              </w:rPr>
              <w:t xml:space="preserve"> tissue</w:t>
            </w:r>
            <w:r w:rsidR="00C44C6E">
              <w:rPr>
                <w:sz w:val="18"/>
                <w:szCs w:val="18"/>
              </w:rPr>
              <w:t xml:space="preserve"> due to </w:t>
            </w:r>
            <w:r>
              <w:rPr>
                <w:sz w:val="18"/>
                <w:szCs w:val="18"/>
              </w:rPr>
              <w:t>bruising</w:t>
            </w:r>
            <w:r w:rsidR="00E32AF6">
              <w:rPr>
                <w:sz w:val="18"/>
                <w:szCs w:val="18"/>
              </w:rPr>
              <w:t xml:space="preserve">. </w:t>
            </w:r>
            <w:r>
              <w:rPr>
                <w:sz w:val="18"/>
                <w:szCs w:val="18"/>
              </w:rPr>
              <w:t>The same processes</w:t>
            </w:r>
            <w:r w:rsidR="00FB56EF">
              <w:rPr>
                <w:sz w:val="18"/>
                <w:szCs w:val="18"/>
              </w:rPr>
              <w:t xml:space="preserve"> </w:t>
            </w:r>
            <w:r w:rsidR="002644A4">
              <w:rPr>
                <w:sz w:val="18"/>
                <w:szCs w:val="18"/>
              </w:rPr>
              <w:t>are used</w:t>
            </w:r>
            <w:r>
              <w:rPr>
                <w:sz w:val="18"/>
                <w:szCs w:val="18"/>
              </w:rPr>
              <w:t xml:space="preserve"> for</w:t>
            </w:r>
            <w:r w:rsidR="00FB56EF">
              <w:rPr>
                <w:sz w:val="18"/>
                <w:szCs w:val="18"/>
              </w:rPr>
              <w:t xml:space="preserve"> both GM and non-GM potatoes</w:t>
            </w:r>
            <w:r>
              <w:rPr>
                <w:sz w:val="18"/>
                <w:szCs w:val="18"/>
              </w:rPr>
              <w:t>.</w:t>
            </w:r>
          </w:p>
          <w:p w14:paraId="5574482B" w14:textId="53CCE7AB" w:rsidR="004C7B5E" w:rsidRDefault="004C7B5E" w:rsidP="00741C28">
            <w:pPr>
              <w:pStyle w:val="ListParagraph"/>
              <w:autoSpaceDE w:val="0"/>
              <w:autoSpaceDN w:val="0"/>
              <w:adjustRightInd w:val="0"/>
              <w:spacing w:after="240"/>
              <w:ind w:left="176" w:hanging="176"/>
              <w:rPr>
                <w:sz w:val="18"/>
                <w:szCs w:val="18"/>
              </w:rPr>
            </w:pPr>
          </w:p>
          <w:p w14:paraId="5BBFF2FE" w14:textId="715C0904" w:rsidR="00741C28" w:rsidRDefault="003F0920" w:rsidP="004C7B5E">
            <w:pPr>
              <w:pStyle w:val="ListParagraph"/>
              <w:autoSpaceDE w:val="0"/>
              <w:autoSpaceDN w:val="0"/>
              <w:adjustRightInd w:val="0"/>
              <w:spacing w:after="240"/>
              <w:ind w:left="176" w:hanging="176"/>
              <w:rPr>
                <w:sz w:val="18"/>
                <w:szCs w:val="18"/>
              </w:rPr>
            </w:pPr>
            <w:r w:rsidRPr="005E4D69">
              <w:rPr>
                <w:sz w:val="18"/>
                <w:szCs w:val="18"/>
              </w:rPr>
              <w:t xml:space="preserve">Tyramine is a </w:t>
            </w:r>
            <w:r w:rsidR="0057722F">
              <w:rPr>
                <w:sz w:val="18"/>
                <w:szCs w:val="18"/>
              </w:rPr>
              <w:t xml:space="preserve">biogenic amine and a </w:t>
            </w:r>
            <w:r w:rsidRPr="005E4D69">
              <w:rPr>
                <w:sz w:val="18"/>
                <w:szCs w:val="18"/>
              </w:rPr>
              <w:t>natural derivative of</w:t>
            </w:r>
            <w:r>
              <w:rPr>
                <w:sz w:val="18"/>
                <w:szCs w:val="18"/>
              </w:rPr>
              <w:t xml:space="preserve"> the amino acid</w:t>
            </w:r>
            <w:r w:rsidRPr="005E4D69">
              <w:rPr>
                <w:sz w:val="18"/>
                <w:szCs w:val="18"/>
              </w:rPr>
              <w:t xml:space="preserve"> tyrosine</w:t>
            </w:r>
            <w:r w:rsidR="0057722F">
              <w:rPr>
                <w:sz w:val="18"/>
                <w:szCs w:val="18"/>
              </w:rPr>
              <w:t>,</w:t>
            </w:r>
            <w:r>
              <w:rPr>
                <w:sz w:val="18"/>
                <w:szCs w:val="18"/>
              </w:rPr>
              <w:t xml:space="preserve"> one of many compounds found in the diverse phenylpropanoid family. </w:t>
            </w:r>
            <w:r w:rsidR="004C7B5E">
              <w:rPr>
                <w:sz w:val="18"/>
                <w:szCs w:val="18"/>
              </w:rPr>
              <w:t>FSANZ notes that concern about tyramine is based on the o</w:t>
            </w:r>
            <w:r>
              <w:rPr>
                <w:sz w:val="18"/>
                <w:szCs w:val="18"/>
              </w:rPr>
              <w:t>bservation that phenylpropanoid</w:t>
            </w:r>
            <w:r w:rsidR="004C7B5E">
              <w:rPr>
                <w:sz w:val="18"/>
                <w:szCs w:val="18"/>
              </w:rPr>
              <w:t xml:space="preserve"> levels increase under stress. However, </w:t>
            </w:r>
            <w:r w:rsidR="00CE441B">
              <w:rPr>
                <w:sz w:val="18"/>
                <w:szCs w:val="18"/>
              </w:rPr>
              <w:t>the literature indicates</w:t>
            </w:r>
            <w:r w:rsidR="004C7B5E">
              <w:rPr>
                <w:sz w:val="18"/>
                <w:szCs w:val="18"/>
              </w:rPr>
              <w:t xml:space="preserve"> that phenylpropanoid levels are quite variable in non-GM potatoes depending on the variety, location grown and environmental conditions (Payyavula et al., 2012; Reddivari et al., 2007). That is, there is a large range of natural variation of phenylpropanoids that exists in non-GM potatoes that do not raise food safety concerns. </w:t>
            </w:r>
          </w:p>
          <w:p w14:paraId="01551764" w14:textId="77777777" w:rsidR="004C7B5E" w:rsidRPr="004C7B5E" w:rsidRDefault="004C7B5E" w:rsidP="004C7B5E">
            <w:pPr>
              <w:pStyle w:val="ListParagraph"/>
              <w:autoSpaceDE w:val="0"/>
              <w:autoSpaceDN w:val="0"/>
              <w:adjustRightInd w:val="0"/>
              <w:spacing w:after="240"/>
              <w:ind w:left="176" w:hanging="176"/>
              <w:rPr>
                <w:sz w:val="18"/>
                <w:szCs w:val="18"/>
              </w:rPr>
            </w:pPr>
          </w:p>
          <w:p w14:paraId="5D7B826A" w14:textId="16BF9283" w:rsidR="00DC769B" w:rsidRDefault="008A3490" w:rsidP="00C80966">
            <w:pPr>
              <w:pStyle w:val="ListParagraph"/>
              <w:autoSpaceDE w:val="0"/>
              <w:autoSpaceDN w:val="0"/>
              <w:adjustRightInd w:val="0"/>
              <w:spacing w:after="240"/>
              <w:ind w:left="176" w:hanging="176"/>
              <w:rPr>
                <w:sz w:val="18"/>
                <w:szCs w:val="18"/>
              </w:rPr>
            </w:pPr>
            <w:r>
              <w:rPr>
                <w:sz w:val="18"/>
                <w:szCs w:val="18"/>
              </w:rPr>
              <w:t>In terms of consumption, t</w:t>
            </w:r>
            <w:r w:rsidR="000E6E26">
              <w:rPr>
                <w:sz w:val="18"/>
                <w:szCs w:val="18"/>
              </w:rPr>
              <w:t>yramine is</w:t>
            </w:r>
            <w:r w:rsidR="00FE46F6">
              <w:rPr>
                <w:sz w:val="18"/>
                <w:szCs w:val="18"/>
              </w:rPr>
              <w:t xml:space="preserve"> </w:t>
            </w:r>
            <w:r w:rsidR="00CC0C58" w:rsidRPr="005E4D69">
              <w:rPr>
                <w:sz w:val="18"/>
                <w:szCs w:val="18"/>
              </w:rPr>
              <w:t>p</w:t>
            </w:r>
            <w:r w:rsidR="000E6E26">
              <w:rPr>
                <w:sz w:val="18"/>
                <w:szCs w:val="18"/>
              </w:rPr>
              <w:t>resent in high amounts in foods</w:t>
            </w:r>
            <w:r w:rsidR="00CC0C58" w:rsidRPr="005E4D69">
              <w:rPr>
                <w:sz w:val="18"/>
                <w:szCs w:val="18"/>
              </w:rPr>
              <w:t xml:space="preserve"> readily consumed as part of the human diet</w:t>
            </w:r>
            <w:r w:rsidR="009057FA">
              <w:rPr>
                <w:sz w:val="18"/>
                <w:szCs w:val="18"/>
              </w:rPr>
              <w:t xml:space="preserve"> </w:t>
            </w:r>
            <w:r w:rsidR="00193971">
              <w:rPr>
                <w:sz w:val="18"/>
                <w:szCs w:val="18"/>
              </w:rPr>
              <w:t>and</w:t>
            </w:r>
            <w:r w:rsidR="009057FA">
              <w:rPr>
                <w:sz w:val="18"/>
                <w:szCs w:val="18"/>
              </w:rPr>
              <w:t xml:space="preserve"> includes</w:t>
            </w:r>
            <w:r w:rsidR="000343EB">
              <w:rPr>
                <w:sz w:val="18"/>
                <w:szCs w:val="18"/>
              </w:rPr>
              <w:t xml:space="preserve"> </w:t>
            </w:r>
            <w:r w:rsidR="00CC0C58" w:rsidRPr="005E4D69">
              <w:rPr>
                <w:sz w:val="18"/>
                <w:szCs w:val="18"/>
              </w:rPr>
              <w:t xml:space="preserve">cheese, </w:t>
            </w:r>
            <w:r w:rsidR="005E4D69">
              <w:rPr>
                <w:sz w:val="18"/>
                <w:szCs w:val="18"/>
              </w:rPr>
              <w:t xml:space="preserve">cured </w:t>
            </w:r>
            <w:r w:rsidR="00CC0C58" w:rsidRPr="005E4D69">
              <w:rPr>
                <w:sz w:val="18"/>
                <w:szCs w:val="18"/>
              </w:rPr>
              <w:t>meat and certain fish (Paulsen et al., 2012).</w:t>
            </w:r>
            <w:r w:rsidR="00F145CC">
              <w:rPr>
                <w:sz w:val="18"/>
                <w:szCs w:val="18"/>
              </w:rPr>
              <w:t xml:space="preserve"> </w:t>
            </w:r>
            <w:r w:rsidR="00427F23">
              <w:rPr>
                <w:sz w:val="18"/>
                <w:szCs w:val="18"/>
              </w:rPr>
              <w:t xml:space="preserve">However, compared </w:t>
            </w:r>
            <w:r w:rsidR="00472D0F">
              <w:rPr>
                <w:sz w:val="18"/>
                <w:szCs w:val="18"/>
              </w:rPr>
              <w:t>to these foods</w:t>
            </w:r>
            <w:r w:rsidR="00EF62E2">
              <w:rPr>
                <w:sz w:val="18"/>
                <w:szCs w:val="18"/>
              </w:rPr>
              <w:t xml:space="preserve"> non-GM </w:t>
            </w:r>
            <w:r w:rsidR="00472D0F">
              <w:rPr>
                <w:sz w:val="18"/>
                <w:szCs w:val="18"/>
              </w:rPr>
              <w:t>potato tubers</w:t>
            </w:r>
            <w:r w:rsidR="00CC0C58" w:rsidRPr="005E4D69">
              <w:rPr>
                <w:sz w:val="18"/>
                <w:szCs w:val="18"/>
              </w:rPr>
              <w:t xml:space="preserve"> have </w:t>
            </w:r>
            <w:r w:rsidR="005D5644">
              <w:rPr>
                <w:sz w:val="18"/>
                <w:szCs w:val="18"/>
              </w:rPr>
              <w:t>very</w:t>
            </w:r>
            <w:r w:rsidR="00CC0C58" w:rsidRPr="005E4D69">
              <w:rPr>
                <w:sz w:val="18"/>
                <w:szCs w:val="18"/>
              </w:rPr>
              <w:t xml:space="preserve"> low levels of </w:t>
            </w:r>
            <w:r w:rsidR="00CC0C58" w:rsidRPr="008A3490">
              <w:rPr>
                <w:sz w:val="18"/>
                <w:szCs w:val="18"/>
              </w:rPr>
              <w:t>tyramine (Moret et al., 2005).</w:t>
            </w:r>
            <w:r w:rsidR="003204DC" w:rsidRPr="008A3490">
              <w:rPr>
                <w:sz w:val="18"/>
                <w:szCs w:val="18"/>
              </w:rPr>
              <w:t xml:space="preserve"> </w:t>
            </w:r>
            <w:r w:rsidR="00BA60C7">
              <w:rPr>
                <w:sz w:val="18"/>
                <w:szCs w:val="18"/>
              </w:rPr>
              <w:t>I</w:t>
            </w:r>
            <w:r w:rsidR="00BA60C7" w:rsidRPr="00BA60C7">
              <w:rPr>
                <w:sz w:val="18"/>
                <w:szCs w:val="18"/>
              </w:rPr>
              <w:t>mportantly, Llorente et al. (2014, 2011) have directly measured tyramine levels in three GM potato tubers with the reduced blackspot trait. The studies found that tyramine levels decreased in all tubers relative to non-GM controls.</w:t>
            </w:r>
          </w:p>
          <w:p w14:paraId="5EBD38BF" w14:textId="77777777" w:rsidR="00C80966" w:rsidRPr="00DC769B" w:rsidRDefault="00C80966" w:rsidP="00C80966">
            <w:pPr>
              <w:pStyle w:val="ListParagraph"/>
              <w:autoSpaceDE w:val="0"/>
              <w:autoSpaceDN w:val="0"/>
              <w:adjustRightInd w:val="0"/>
              <w:spacing w:after="240"/>
              <w:ind w:left="176" w:hanging="176"/>
              <w:rPr>
                <w:sz w:val="18"/>
                <w:szCs w:val="18"/>
              </w:rPr>
            </w:pPr>
          </w:p>
          <w:p w14:paraId="01E5D53C" w14:textId="79EFDAEC" w:rsidR="00741C28" w:rsidRDefault="00741C28" w:rsidP="004F4645">
            <w:pPr>
              <w:pStyle w:val="ListParagraph"/>
              <w:autoSpaceDE w:val="0"/>
              <w:autoSpaceDN w:val="0"/>
              <w:adjustRightInd w:val="0"/>
              <w:spacing w:after="240"/>
              <w:ind w:left="176" w:hanging="176"/>
              <w:rPr>
                <w:sz w:val="18"/>
                <w:szCs w:val="18"/>
              </w:rPr>
            </w:pPr>
            <w:r>
              <w:rPr>
                <w:sz w:val="18"/>
                <w:szCs w:val="18"/>
              </w:rPr>
              <w:t>While tyramine consumption is not a concern for most people, some i</w:t>
            </w:r>
            <w:r w:rsidRPr="003204DC">
              <w:rPr>
                <w:sz w:val="18"/>
                <w:szCs w:val="18"/>
              </w:rPr>
              <w:t>ndividuals</w:t>
            </w:r>
            <w:r>
              <w:rPr>
                <w:sz w:val="18"/>
                <w:szCs w:val="18"/>
              </w:rPr>
              <w:t xml:space="preserve"> can be sensitive (e.g. those</w:t>
            </w:r>
            <w:r w:rsidRPr="003204DC">
              <w:rPr>
                <w:sz w:val="18"/>
                <w:szCs w:val="18"/>
              </w:rPr>
              <w:t xml:space="preserve"> using </w:t>
            </w:r>
            <w:r>
              <w:rPr>
                <w:sz w:val="18"/>
                <w:szCs w:val="18"/>
              </w:rPr>
              <w:t xml:space="preserve">monoamine oxidase </w:t>
            </w:r>
            <w:r w:rsidRPr="008462DE">
              <w:rPr>
                <w:sz w:val="18"/>
                <w:szCs w:val="18"/>
              </w:rPr>
              <w:t xml:space="preserve">inhibitors). However, based on the evidence above, there is no credible basis to support the idea that tyramine levels in V11 and Z6 potatoes </w:t>
            </w:r>
            <w:r w:rsidR="00CE441B">
              <w:rPr>
                <w:sz w:val="18"/>
                <w:szCs w:val="18"/>
              </w:rPr>
              <w:t>would be</w:t>
            </w:r>
            <w:r w:rsidR="00CE441B" w:rsidRPr="008462DE">
              <w:rPr>
                <w:sz w:val="18"/>
                <w:szCs w:val="18"/>
              </w:rPr>
              <w:t xml:space="preserve"> </w:t>
            </w:r>
            <w:r w:rsidRPr="008462DE">
              <w:rPr>
                <w:sz w:val="18"/>
                <w:szCs w:val="18"/>
              </w:rPr>
              <w:t>elevated compared to non-GM potatoes</w:t>
            </w:r>
            <w:r w:rsidR="004C7B5E" w:rsidRPr="008462DE">
              <w:rPr>
                <w:sz w:val="18"/>
                <w:szCs w:val="18"/>
              </w:rPr>
              <w:t xml:space="preserve"> </w:t>
            </w:r>
            <w:r w:rsidR="003724E0" w:rsidRPr="008462DE">
              <w:rPr>
                <w:sz w:val="18"/>
                <w:szCs w:val="18"/>
              </w:rPr>
              <w:t xml:space="preserve">or that </w:t>
            </w:r>
            <w:r w:rsidR="00CE441B">
              <w:rPr>
                <w:sz w:val="18"/>
                <w:szCs w:val="18"/>
              </w:rPr>
              <w:t>these potatoes</w:t>
            </w:r>
            <w:r w:rsidR="00CE441B" w:rsidRPr="008462DE">
              <w:rPr>
                <w:sz w:val="18"/>
                <w:szCs w:val="18"/>
              </w:rPr>
              <w:t xml:space="preserve"> </w:t>
            </w:r>
            <w:r w:rsidR="00CE441B">
              <w:rPr>
                <w:sz w:val="18"/>
                <w:szCs w:val="18"/>
              </w:rPr>
              <w:t xml:space="preserve">pose a greater risk </w:t>
            </w:r>
            <w:r w:rsidR="003724E0" w:rsidRPr="008462DE">
              <w:rPr>
                <w:sz w:val="18"/>
                <w:szCs w:val="18"/>
              </w:rPr>
              <w:t>to sensitive individuals</w:t>
            </w:r>
            <w:r w:rsidR="00CE441B">
              <w:rPr>
                <w:sz w:val="18"/>
                <w:szCs w:val="18"/>
              </w:rPr>
              <w:t xml:space="preserve"> compared to non-GM potatoes</w:t>
            </w:r>
            <w:r w:rsidRPr="008462DE">
              <w:rPr>
                <w:sz w:val="18"/>
                <w:szCs w:val="18"/>
              </w:rPr>
              <w:t>.</w:t>
            </w:r>
          </w:p>
          <w:p w14:paraId="688E35EC" w14:textId="2B742506" w:rsidR="00741C28" w:rsidRPr="00741C28" w:rsidRDefault="00741C28" w:rsidP="00741C28">
            <w:pPr>
              <w:pStyle w:val="ListParagraph"/>
              <w:autoSpaceDE w:val="0"/>
              <w:autoSpaceDN w:val="0"/>
              <w:adjustRightInd w:val="0"/>
              <w:spacing w:after="240"/>
              <w:ind w:left="176" w:hanging="176"/>
              <w:rPr>
                <w:sz w:val="18"/>
                <w:szCs w:val="18"/>
              </w:rPr>
            </w:pPr>
          </w:p>
          <w:p w14:paraId="64BF67B8" w14:textId="0C6460E4" w:rsidR="00C80966" w:rsidRPr="00C80966" w:rsidRDefault="009057FA" w:rsidP="00004C37">
            <w:pPr>
              <w:pStyle w:val="ListParagraph"/>
              <w:autoSpaceDE w:val="0"/>
              <w:autoSpaceDN w:val="0"/>
              <w:adjustRightInd w:val="0"/>
              <w:spacing w:after="240"/>
              <w:ind w:left="176" w:hanging="176"/>
              <w:rPr>
                <w:sz w:val="18"/>
                <w:szCs w:val="18"/>
              </w:rPr>
            </w:pPr>
            <w:r>
              <w:rPr>
                <w:sz w:val="18"/>
                <w:szCs w:val="18"/>
              </w:rPr>
              <w:t>FSANZ</w:t>
            </w:r>
            <w:r w:rsidR="00C71470">
              <w:rPr>
                <w:sz w:val="18"/>
                <w:szCs w:val="18"/>
              </w:rPr>
              <w:t xml:space="preserve"> note</w:t>
            </w:r>
            <w:r>
              <w:rPr>
                <w:sz w:val="18"/>
                <w:szCs w:val="18"/>
              </w:rPr>
              <w:t>s</w:t>
            </w:r>
            <w:r w:rsidR="00C71470">
              <w:rPr>
                <w:sz w:val="18"/>
                <w:szCs w:val="18"/>
              </w:rPr>
              <w:t xml:space="preserve"> that</w:t>
            </w:r>
            <w:r w:rsidR="005E4D69">
              <w:rPr>
                <w:sz w:val="18"/>
                <w:szCs w:val="18"/>
              </w:rPr>
              <w:t xml:space="preserve"> the inhibition or reduction of PPO activity to prevent browning and preserve fruits and vegetables is not a new strategy in the food industry. Many methods exist to inhibit PPO and the literature contains many examples of methods in produce such as mango, apple, pear, banana, broccoli and mushroom (</w:t>
            </w:r>
            <w:r w:rsidR="00AF2F5C">
              <w:rPr>
                <w:sz w:val="18"/>
                <w:szCs w:val="18"/>
              </w:rPr>
              <w:t xml:space="preserve">Moon et al., 2020; </w:t>
            </w:r>
            <w:r w:rsidR="005E4D69">
              <w:rPr>
                <w:sz w:val="18"/>
                <w:szCs w:val="18"/>
              </w:rPr>
              <w:t xml:space="preserve">Ioannou &amp; Ghoul, 2013). In potatoes, the food industry uses a number of preventative measures to minimise PPO activity including submerging potatoes in water or modified atmosphere packaging. Reducing PPO activing via genetic modification is </w:t>
            </w:r>
            <w:r w:rsidR="00605A03">
              <w:rPr>
                <w:sz w:val="18"/>
                <w:szCs w:val="18"/>
              </w:rPr>
              <w:t xml:space="preserve">but </w:t>
            </w:r>
            <w:r w:rsidR="005E4D69">
              <w:rPr>
                <w:sz w:val="18"/>
                <w:szCs w:val="18"/>
              </w:rPr>
              <w:t>another approach</w:t>
            </w:r>
            <w:r w:rsidR="00AF2F5C">
              <w:rPr>
                <w:sz w:val="18"/>
                <w:szCs w:val="18"/>
              </w:rPr>
              <w:t xml:space="preserve"> to </w:t>
            </w:r>
            <w:r w:rsidR="00004C37">
              <w:rPr>
                <w:sz w:val="18"/>
                <w:szCs w:val="18"/>
              </w:rPr>
              <w:t>prevent browning</w:t>
            </w:r>
            <w:r w:rsidR="00AF2F5C">
              <w:rPr>
                <w:sz w:val="18"/>
                <w:szCs w:val="18"/>
              </w:rPr>
              <w:t>.</w:t>
            </w:r>
          </w:p>
        </w:tc>
      </w:tr>
      <w:tr w:rsidR="00DF74FB" w:rsidRPr="00C655BA" w14:paraId="2CDFD6C6" w14:textId="77777777" w:rsidTr="00472D0F">
        <w:trPr>
          <w:trHeight w:val="575"/>
        </w:trPr>
        <w:tc>
          <w:tcPr>
            <w:tcW w:w="3256" w:type="dxa"/>
            <w:shd w:val="clear" w:color="auto" w:fill="auto"/>
          </w:tcPr>
          <w:p w14:paraId="3B006C35" w14:textId="2977F107" w:rsidR="00DF74FB" w:rsidRDefault="00DF74FB" w:rsidP="00F155CF">
            <w:pPr>
              <w:spacing w:after="240"/>
              <w:rPr>
                <w:sz w:val="18"/>
                <w:szCs w:val="18"/>
              </w:rPr>
            </w:pPr>
            <w:r>
              <w:rPr>
                <w:sz w:val="18"/>
                <w:szCs w:val="18"/>
              </w:rPr>
              <w:t>Potato lines V11 and Z6 were</w:t>
            </w:r>
            <w:r w:rsidRPr="00B67A0F">
              <w:rPr>
                <w:sz w:val="18"/>
                <w:szCs w:val="18"/>
              </w:rPr>
              <w:t xml:space="preserve"> not evaluated for the production of </w:t>
            </w:r>
            <w:r w:rsidR="00F04247" w:rsidRPr="00D01333">
              <w:rPr>
                <w:sz w:val="18"/>
                <w:szCs w:val="18"/>
              </w:rPr>
              <w:t>α</w:t>
            </w:r>
            <w:r w:rsidRPr="00DC5E99">
              <w:rPr>
                <w:sz w:val="18"/>
                <w:szCs w:val="18"/>
              </w:rPr>
              <w:t>-aminoadipic acid</w:t>
            </w:r>
            <w:r>
              <w:rPr>
                <w:sz w:val="18"/>
                <w:szCs w:val="18"/>
              </w:rPr>
              <w:t xml:space="preserve"> </w:t>
            </w:r>
            <w:r w:rsidRPr="00B67A0F">
              <w:rPr>
                <w:sz w:val="18"/>
                <w:szCs w:val="18"/>
              </w:rPr>
              <w:t>that may have serious health implications</w:t>
            </w:r>
            <w:r w:rsidR="00D13B46">
              <w:rPr>
                <w:sz w:val="18"/>
                <w:szCs w:val="18"/>
              </w:rPr>
              <w:t xml:space="preserve">; PPO </w:t>
            </w:r>
            <w:r w:rsidR="00D13B46" w:rsidRPr="00F155CF">
              <w:rPr>
                <w:sz w:val="18"/>
                <w:szCs w:val="18"/>
              </w:rPr>
              <w:t>silencing causes a sig</w:t>
            </w:r>
            <w:r w:rsidR="00D13B46">
              <w:rPr>
                <w:sz w:val="18"/>
                <w:szCs w:val="18"/>
              </w:rPr>
              <w:t>nificant increase in levels of l</w:t>
            </w:r>
            <w:r w:rsidR="00D13B46" w:rsidRPr="00F155CF">
              <w:rPr>
                <w:sz w:val="18"/>
                <w:szCs w:val="18"/>
              </w:rPr>
              <w:t>ysine</w:t>
            </w:r>
            <w:r w:rsidR="00D13B46">
              <w:rPr>
                <w:sz w:val="18"/>
                <w:szCs w:val="18"/>
              </w:rPr>
              <w:t xml:space="preserve"> leading to increase</w:t>
            </w:r>
            <w:r w:rsidR="00F04247">
              <w:rPr>
                <w:sz w:val="18"/>
                <w:szCs w:val="18"/>
              </w:rPr>
              <w:t xml:space="preserve">d levels of </w:t>
            </w:r>
            <w:r w:rsidR="00F04247" w:rsidRPr="00D01333">
              <w:rPr>
                <w:sz w:val="18"/>
                <w:szCs w:val="18"/>
              </w:rPr>
              <w:t>α</w:t>
            </w:r>
            <w:r w:rsidR="00D13B46">
              <w:rPr>
                <w:sz w:val="18"/>
                <w:szCs w:val="18"/>
              </w:rPr>
              <w:t>-aminoadipic acid.</w:t>
            </w:r>
          </w:p>
        </w:tc>
        <w:tc>
          <w:tcPr>
            <w:tcW w:w="1842" w:type="dxa"/>
            <w:shd w:val="clear" w:color="auto" w:fill="auto"/>
          </w:tcPr>
          <w:p w14:paraId="1A43F69D" w14:textId="393A539F" w:rsidR="00DF74FB" w:rsidRDefault="00D34A47" w:rsidP="00DF74FB">
            <w:pPr>
              <w:spacing w:after="240"/>
              <w:rPr>
                <w:sz w:val="18"/>
                <w:szCs w:val="18"/>
              </w:rPr>
            </w:pPr>
            <w:r>
              <w:rPr>
                <w:sz w:val="18"/>
                <w:szCs w:val="18"/>
              </w:rPr>
              <w:t>Private submitter (CB)</w:t>
            </w:r>
          </w:p>
        </w:tc>
        <w:tc>
          <w:tcPr>
            <w:tcW w:w="8931" w:type="dxa"/>
            <w:shd w:val="clear" w:color="auto" w:fill="auto"/>
          </w:tcPr>
          <w:p w14:paraId="5D950E22" w14:textId="441B85EF" w:rsidR="00425607" w:rsidRPr="000B0869" w:rsidRDefault="00BA60C7" w:rsidP="00425607">
            <w:pPr>
              <w:pStyle w:val="ListParagraph"/>
              <w:autoSpaceDE w:val="0"/>
              <w:autoSpaceDN w:val="0"/>
              <w:adjustRightInd w:val="0"/>
              <w:ind w:left="176" w:hanging="176"/>
              <w:rPr>
                <w:color w:val="000000" w:themeColor="text1"/>
                <w:sz w:val="18"/>
                <w:szCs w:val="18"/>
              </w:rPr>
            </w:pPr>
            <w:r>
              <w:rPr>
                <w:color w:val="000000" w:themeColor="text1"/>
                <w:sz w:val="18"/>
                <w:szCs w:val="18"/>
              </w:rPr>
              <w:t>T</w:t>
            </w:r>
            <w:r w:rsidRPr="000B0869">
              <w:rPr>
                <w:color w:val="000000" w:themeColor="text1"/>
                <w:sz w:val="18"/>
                <w:szCs w:val="18"/>
              </w:rPr>
              <w:t xml:space="preserve">he </w:t>
            </w:r>
            <w:r w:rsidR="00425607" w:rsidRPr="000B0869">
              <w:rPr>
                <w:color w:val="000000" w:themeColor="text1"/>
                <w:sz w:val="18"/>
                <w:szCs w:val="18"/>
              </w:rPr>
              <w:t>aim</w:t>
            </w:r>
            <w:r w:rsidR="00BB24AC">
              <w:rPr>
                <w:color w:val="000000" w:themeColor="text1"/>
                <w:sz w:val="18"/>
                <w:szCs w:val="18"/>
              </w:rPr>
              <w:t xml:space="preserve"> of the compositional analyses </w:t>
            </w:r>
            <w:r w:rsidR="00425607" w:rsidRPr="000B0869">
              <w:rPr>
                <w:color w:val="000000" w:themeColor="text1"/>
                <w:sz w:val="18"/>
                <w:szCs w:val="18"/>
              </w:rPr>
              <w:t>is to analyse only those constituents most relevant to the safety of the food or that may have an impact on the whole diet.</w:t>
            </w:r>
            <w:r w:rsidR="001A567B">
              <w:rPr>
                <w:color w:val="000000" w:themeColor="text1"/>
                <w:sz w:val="18"/>
                <w:szCs w:val="18"/>
              </w:rPr>
              <w:t xml:space="preserve"> A</w:t>
            </w:r>
            <w:r w:rsidR="001A567B" w:rsidRPr="000B0869">
              <w:rPr>
                <w:color w:val="000000" w:themeColor="text1"/>
                <w:sz w:val="18"/>
                <w:szCs w:val="18"/>
              </w:rPr>
              <w:t>nalysing every possible constituent</w:t>
            </w:r>
            <w:r w:rsidR="001A567B">
              <w:rPr>
                <w:color w:val="000000" w:themeColor="text1"/>
                <w:sz w:val="18"/>
                <w:szCs w:val="18"/>
              </w:rPr>
              <w:t xml:space="preserve"> in a GM food </w:t>
            </w:r>
            <w:r w:rsidR="001A567B" w:rsidRPr="000B0869">
              <w:rPr>
                <w:color w:val="000000" w:themeColor="text1"/>
                <w:sz w:val="18"/>
                <w:szCs w:val="18"/>
              </w:rPr>
              <w:t>would be impractical</w:t>
            </w:r>
            <w:r w:rsidR="001A567B">
              <w:rPr>
                <w:color w:val="000000" w:themeColor="text1"/>
                <w:sz w:val="18"/>
                <w:szCs w:val="18"/>
              </w:rPr>
              <w:t>.</w:t>
            </w:r>
          </w:p>
          <w:p w14:paraId="73781131" w14:textId="77777777" w:rsidR="00425607" w:rsidRDefault="00425607" w:rsidP="00425607">
            <w:pPr>
              <w:pStyle w:val="ListParagraph"/>
              <w:autoSpaceDE w:val="0"/>
              <w:autoSpaceDN w:val="0"/>
              <w:adjustRightInd w:val="0"/>
              <w:ind w:left="176" w:hanging="176"/>
              <w:rPr>
                <w:sz w:val="18"/>
                <w:szCs w:val="18"/>
              </w:rPr>
            </w:pPr>
          </w:p>
          <w:p w14:paraId="2FA763F4" w14:textId="5F19D93B" w:rsidR="006D3C11" w:rsidRDefault="00425607" w:rsidP="00D97983">
            <w:pPr>
              <w:pStyle w:val="ListParagraph"/>
              <w:autoSpaceDE w:val="0"/>
              <w:autoSpaceDN w:val="0"/>
              <w:adjustRightInd w:val="0"/>
              <w:ind w:left="176" w:hanging="176"/>
              <w:rPr>
                <w:color w:val="000000" w:themeColor="text1"/>
                <w:sz w:val="18"/>
                <w:szCs w:val="18"/>
              </w:rPr>
            </w:pPr>
            <w:r w:rsidRPr="000B0869">
              <w:rPr>
                <w:color w:val="000000" w:themeColor="text1"/>
                <w:sz w:val="18"/>
                <w:szCs w:val="18"/>
              </w:rPr>
              <w:t xml:space="preserve">The Organisation for Economic Co-operation and development (OECD) publishes internationally recognised consensus documents on compositional considerations </w:t>
            </w:r>
            <w:r>
              <w:rPr>
                <w:color w:val="000000" w:themeColor="text1"/>
                <w:sz w:val="18"/>
                <w:szCs w:val="18"/>
              </w:rPr>
              <w:t>for</w:t>
            </w:r>
            <w:r w:rsidRPr="000B0869">
              <w:rPr>
                <w:color w:val="000000" w:themeColor="text1"/>
                <w:sz w:val="18"/>
                <w:szCs w:val="18"/>
              </w:rPr>
              <w:t xml:space="preserve"> various crops. </w:t>
            </w:r>
            <w:r>
              <w:rPr>
                <w:color w:val="000000" w:themeColor="text1"/>
                <w:sz w:val="18"/>
                <w:szCs w:val="18"/>
              </w:rPr>
              <w:t>These documents specify which constituents are most relevant for human health</w:t>
            </w:r>
            <w:r w:rsidR="00D13B46">
              <w:rPr>
                <w:color w:val="000000" w:themeColor="text1"/>
                <w:sz w:val="18"/>
                <w:szCs w:val="18"/>
              </w:rPr>
              <w:t xml:space="preserve"> e.g.</w:t>
            </w:r>
            <w:r w:rsidR="00BB24AC">
              <w:rPr>
                <w:color w:val="000000" w:themeColor="text1"/>
                <w:sz w:val="18"/>
                <w:szCs w:val="18"/>
              </w:rPr>
              <w:t xml:space="preserve"> nutrients, anti-nutrients, toxicants and secondary metabolites</w:t>
            </w:r>
            <w:r>
              <w:rPr>
                <w:color w:val="000000" w:themeColor="text1"/>
                <w:sz w:val="18"/>
                <w:szCs w:val="18"/>
              </w:rPr>
              <w:t xml:space="preserve">. </w:t>
            </w:r>
            <w:r w:rsidR="00465B04">
              <w:rPr>
                <w:color w:val="000000" w:themeColor="text1"/>
                <w:sz w:val="18"/>
                <w:szCs w:val="18"/>
              </w:rPr>
              <w:t xml:space="preserve">In potatoes, </w:t>
            </w:r>
            <w:r w:rsidRPr="00D01333">
              <w:rPr>
                <w:sz w:val="18"/>
                <w:szCs w:val="18"/>
              </w:rPr>
              <w:t>α</w:t>
            </w:r>
            <w:r w:rsidRPr="00DC5E99">
              <w:rPr>
                <w:sz w:val="18"/>
                <w:szCs w:val="18"/>
              </w:rPr>
              <w:t>-aminoadipic acid</w:t>
            </w:r>
            <w:r>
              <w:rPr>
                <w:sz w:val="18"/>
                <w:szCs w:val="18"/>
              </w:rPr>
              <w:t xml:space="preserve">, </w:t>
            </w:r>
            <w:r w:rsidRPr="00D01333">
              <w:rPr>
                <w:sz w:val="18"/>
                <w:szCs w:val="18"/>
              </w:rPr>
              <w:t>also known as α-aminoadipate</w:t>
            </w:r>
            <w:r>
              <w:rPr>
                <w:sz w:val="18"/>
                <w:szCs w:val="18"/>
              </w:rPr>
              <w:t>,</w:t>
            </w:r>
            <w:r>
              <w:rPr>
                <w:color w:val="000000" w:themeColor="text1"/>
                <w:sz w:val="18"/>
                <w:szCs w:val="18"/>
              </w:rPr>
              <w:t xml:space="preserve"> is not considered to be </w:t>
            </w:r>
            <w:r w:rsidR="00385DAB">
              <w:rPr>
                <w:color w:val="000000" w:themeColor="text1"/>
                <w:sz w:val="18"/>
                <w:szCs w:val="18"/>
              </w:rPr>
              <w:t xml:space="preserve">a </w:t>
            </w:r>
            <w:r>
              <w:rPr>
                <w:color w:val="000000" w:themeColor="text1"/>
                <w:sz w:val="18"/>
                <w:szCs w:val="18"/>
              </w:rPr>
              <w:t>key con</w:t>
            </w:r>
            <w:r w:rsidR="00385DAB">
              <w:rPr>
                <w:color w:val="000000" w:themeColor="text1"/>
                <w:sz w:val="18"/>
                <w:szCs w:val="18"/>
              </w:rPr>
              <w:t>stituent</w:t>
            </w:r>
            <w:r w:rsidR="00465B04">
              <w:rPr>
                <w:color w:val="000000" w:themeColor="text1"/>
                <w:sz w:val="18"/>
                <w:szCs w:val="18"/>
              </w:rPr>
              <w:t xml:space="preserve"> of relevance to human health</w:t>
            </w:r>
            <w:r w:rsidRPr="000B0869">
              <w:rPr>
                <w:color w:val="000000" w:themeColor="text1"/>
                <w:sz w:val="18"/>
                <w:szCs w:val="18"/>
              </w:rPr>
              <w:t xml:space="preserve">. </w:t>
            </w:r>
          </w:p>
          <w:p w14:paraId="0137E121" w14:textId="77777777" w:rsidR="00D97983" w:rsidRPr="00D97983" w:rsidRDefault="00D97983" w:rsidP="00D97983">
            <w:pPr>
              <w:pStyle w:val="ListParagraph"/>
              <w:autoSpaceDE w:val="0"/>
              <w:autoSpaceDN w:val="0"/>
              <w:adjustRightInd w:val="0"/>
              <w:ind w:left="176" w:hanging="176"/>
              <w:rPr>
                <w:color w:val="000000" w:themeColor="text1"/>
                <w:sz w:val="18"/>
                <w:szCs w:val="18"/>
              </w:rPr>
            </w:pPr>
          </w:p>
          <w:p w14:paraId="6078CFC8" w14:textId="588234BA" w:rsidR="00004C37" w:rsidRDefault="00004C37" w:rsidP="0040698B">
            <w:pPr>
              <w:pStyle w:val="ListParagraph"/>
              <w:autoSpaceDE w:val="0"/>
              <w:autoSpaceDN w:val="0"/>
              <w:adjustRightInd w:val="0"/>
              <w:spacing w:after="240"/>
              <w:ind w:left="176" w:hanging="176"/>
              <w:rPr>
                <w:color w:val="000000" w:themeColor="text1"/>
                <w:sz w:val="18"/>
                <w:szCs w:val="18"/>
              </w:rPr>
            </w:pPr>
            <w:r>
              <w:rPr>
                <w:sz w:val="18"/>
                <w:szCs w:val="18"/>
              </w:rPr>
              <w:t xml:space="preserve">Plants and animals use the </w:t>
            </w:r>
            <w:r w:rsidRPr="00D01333">
              <w:rPr>
                <w:sz w:val="18"/>
                <w:szCs w:val="18"/>
              </w:rPr>
              <w:t>α-aminoadipate</w:t>
            </w:r>
            <w:r>
              <w:rPr>
                <w:sz w:val="18"/>
                <w:szCs w:val="18"/>
              </w:rPr>
              <w:t xml:space="preserve"> pathway to catabolise lysine (Zhu et al., 2000). As shown in the SD1, th</w:t>
            </w:r>
            <w:r w:rsidRPr="000B0869">
              <w:rPr>
                <w:color w:val="000000" w:themeColor="text1"/>
                <w:sz w:val="18"/>
                <w:szCs w:val="18"/>
              </w:rPr>
              <w:t xml:space="preserve">e level of </w:t>
            </w:r>
            <w:r>
              <w:rPr>
                <w:color w:val="000000" w:themeColor="text1"/>
                <w:sz w:val="18"/>
                <w:szCs w:val="18"/>
              </w:rPr>
              <w:t>lysine</w:t>
            </w:r>
            <w:r w:rsidRPr="000B0869">
              <w:rPr>
                <w:color w:val="000000" w:themeColor="text1"/>
                <w:sz w:val="18"/>
                <w:szCs w:val="18"/>
              </w:rPr>
              <w:t xml:space="preserve"> </w:t>
            </w:r>
            <w:r>
              <w:rPr>
                <w:color w:val="000000" w:themeColor="text1"/>
                <w:sz w:val="18"/>
                <w:szCs w:val="18"/>
              </w:rPr>
              <w:t xml:space="preserve">in </w:t>
            </w:r>
            <w:r w:rsidR="00233991">
              <w:rPr>
                <w:color w:val="000000" w:themeColor="text1"/>
                <w:sz w:val="18"/>
                <w:szCs w:val="18"/>
              </w:rPr>
              <w:t xml:space="preserve">potato lines </w:t>
            </w:r>
            <w:r>
              <w:rPr>
                <w:color w:val="000000" w:themeColor="text1"/>
                <w:sz w:val="18"/>
                <w:szCs w:val="18"/>
              </w:rPr>
              <w:t xml:space="preserve">V11 </w:t>
            </w:r>
            <w:r w:rsidR="00F56FBB">
              <w:rPr>
                <w:color w:val="000000" w:themeColor="text1"/>
                <w:sz w:val="18"/>
                <w:szCs w:val="18"/>
              </w:rPr>
              <w:t xml:space="preserve">and V6 </w:t>
            </w:r>
            <w:r>
              <w:rPr>
                <w:color w:val="000000" w:themeColor="text1"/>
                <w:sz w:val="18"/>
                <w:szCs w:val="18"/>
              </w:rPr>
              <w:t>was</w:t>
            </w:r>
            <w:r w:rsidRPr="000B0869">
              <w:rPr>
                <w:color w:val="000000" w:themeColor="text1"/>
                <w:sz w:val="18"/>
                <w:szCs w:val="18"/>
              </w:rPr>
              <w:t xml:space="preserve"> within the range of </w:t>
            </w:r>
            <w:r w:rsidR="00465B04">
              <w:rPr>
                <w:color w:val="000000" w:themeColor="text1"/>
                <w:sz w:val="18"/>
                <w:szCs w:val="18"/>
              </w:rPr>
              <w:t xml:space="preserve">natural variation for </w:t>
            </w:r>
            <w:r>
              <w:rPr>
                <w:color w:val="000000" w:themeColor="text1"/>
                <w:sz w:val="18"/>
                <w:szCs w:val="18"/>
              </w:rPr>
              <w:t xml:space="preserve">non-GM </w:t>
            </w:r>
            <w:r w:rsidR="00465B04">
              <w:rPr>
                <w:color w:val="000000" w:themeColor="text1"/>
                <w:sz w:val="18"/>
                <w:szCs w:val="18"/>
              </w:rPr>
              <w:t xml:space="preserve">potato </w:t>
            </w:r>
            <w:r>
              <w:rPr>
                <w:color w:val="000000" w:themeColor="text1"/>
                <w:sz w:val="18"/>
                <w:szCs w:val="18"/>
              </w:rPr>
              <w:t>varieties.</w:t>
            </w:r>
          </w:p>
          <w:p w14:paraId="052504DD" w14:textId="77777777" w:rsidR="00004C37" w:rsidRDefault="00004C37" w:rsidP="0040698B">
            <w:pPr>
              <w:pStyle w:val="ListParagraph"/>
              <w:autoSpaceDE w:val="0"/>
              <w:autoSpaceDN w:val="0"/>
              <w:adjustRightInd w:val="0"/>
              <w:spacing w:after="240"/>
              <w:ind w:left="176" w:hanging="176"/>
              <w:rPr>
                <w:color w:val="000000" w:themeColor="text1"/>
                <w:sz w:val="18"/>
                <w:szCs w:val="18"/>
              </w:rPr>
            </w:pPr>
          </w:p>
          <w:p w14:paraId="3C5891D8" w14:textId="353AF236" w:rsidR="005752CB" w:rsidRPr="00C566F2" w:rsidRDefault="006D3C11" w:rsidP="00C566F2">
            <w:pPr>
              <w:pStyle w:val="ListParagraph"/>
              <w:autoSpaceDE w:val="0"/>
              <w:autoSpaceDN w:val="0"/>
              <w:adjustRightInd w:val="0"/>
              <w:spacing w:after="240"/>
              <w:ind w:left="176" w:hanging="176"/>
              <w:rPr>
                <w:sz w:val="18"/>
                <w:szCs w:val="18"/>
              </w:rPr>
            </w:pPr>
            <w:r>
              <w:rPr>
                <w:color w:val="000000" w:themeColor="text1"/>
                <w:sz w:val="18"/>
                <w:szCs w:val="18"/>
              </w:rPr>
              <w:t>Regarding specific concerns about</w:t>
            </w:r>
            <w:r w:rsidR="00F71058">
              <w:rPr>
                <w:color w:val="000000" w:themeColor="text1"/>
                <w:sz w:val="18"/>
                <w:szCs w:val="18"/>
              </w:rPr>
              <w:t xml:space="preserve"> elevated</w:t>
            </w:r>
            <w:r>
              <w:rPr>
                <w:color w:val="000000" w:themeColor="text1"/>
                <w:sz w:val="18"/>
                <w:szCs w:val="18"/>
              </w:rPr>
              <w:t xml:space="preserve"> </w:t>
            </w:r>
            <w:r w:rsidRPr="00D01333">
              <w:rPr>
                <w:sz w:val="18"/>
                <w:szCs w:val="18"/>
              </w:rPr>
              <w:t>α-aminoadipate</w:t>
            </w:r>
            <w:r w:rsidR="00F71058">
              <w:rPr>
                <w:sz w:val="18"/>
                <w:szCs w:val="18"/>
              </w:rPr>
              <w:t xml:space="preserve"> levels</w:t>
            </w:r>
            <w:r w:rsidR="00472D0F">
              <w:rPr>
                <w:sz w:val="18"/>
                <w:szCs w:val="18"/>
              </w:rPr>
              <w:t xml:space="preserve"> in PPO-</w:t>
            </w:r>
            <w:r>
              <w:rPr>
                <w:sz w:val="18"/>
                <w:szCs w:val="18"/>
              </w:rPr>
              <w:t>silenced potatoes, FSANZ</w:t>
            </w:r>
            <w:r w:rsidR="00F71058">
              <w:rPr>
                <w:sz w:val="18"/>
                <w:szCs w:val="18"/>
              </w:rPr>
              <w:t xml:space="preserve"> </w:t>
            </w:r>
            <w:r w:rsidR="00385DAB">
              <w:rPr>
                <w:sz w:val="18"/>
                <w:szCs w:val="18"/>
              </w:rPr>
              <w:t xml:space="preserve">notes that </w:t>
            </w:r>
            <w:r w:rsidR="00385DAB" w:rsidRPr="00D01333">
              <w:rPr>
                <w:sz w:val="18"/>
                <w:szCs w:val="18"/>
              </w:rPr>
              <w:t>α</w:t>
            </w:r>
            <w:r w:rsidR="00385DAB" w:rsidRPr="00DC5E99">
              <w:rPr>
                <w:sz w:val="18"/>
                <w:szCs w:val="18"/>
              </w:rPr>
              <w:t>-</w:t>
            </w:r>
            <w:r w:rsidR="008442A8" w:rsidRPr="00D01333">
              <w:rPr>
                <w:sz w:val="18"/>
                <w:szCs w:val="18"/>
              </w:rPr>
              <w:t>aminoadipate</w:t>
            </w:r>
            <w:r w:rsidR="008442A8">
              <w:rPr>
                <w:sz w:val="18"/>
                <w:szCs w:val="18"/>
              </w:rPr>
              <w:t xml:space="preserve"> </w:t>
            </w:r>
            <w:r w:rsidR="00385DAB">
              <w:rPr>
                <w:sz w:val="18"/>
                <w:szCs w:val="18"/>
              </w:rPr>
              <w:t xml:space="preserve">is </w:t>
            </w:r>
            <w:r w:rsidR="00004C37">
              <w:rPr>
                <w:sz w:val="18"/>
                <w:szCs w:val="18"/>
              </w:rPr>
              <w:t>naturally present in a number of foods</w:t>
            </w:r>
            <w:r w:rsidR="008442A8">
              <w:rPr>
                <w:sz w:val="18"/>
                <w:szCs w:val="18"/>
              </w:rPr>
              <w:t xml:space="preserve">. Relative to potato, </w:t>
            </w:r>
            <w:r w:rsidR="00385DAB">
              <w:rPr>
                <w:sz w:val="18"/>
                <w:szCs w:val="18"/>
              </w:rPr>
              <w:t xml:space="preserve">foods such as </w:t>
            </w:r>
            <w:r w:rsidR="0040698B">
              <w:rPr>
                <w:sz w:val="18"/>
                <w:szCs w:val="18"/>
              </w:rPr>
              <w:t>broccoli, wheat and rye</w:t>
            </w:r>
            <w:r w:rsidR="008442A8">
              <w:rPr>
                <w:sz w:val="18"/>
                <w:szCs w:val="18"/>
              </w:rPr>
              <w:t xml:space="preserve"> contain </w:t>
            </w:r>
            <w:r w:rsidR="00D8627B">
              <w:rPr>
                <w:sz w:val="18"/>
                <w:szCs w:val="18"/>
              </w:rPr>
              <w:t xml:space="preserve">6.1, 7.8 and 9.5 times </w:t>
            </w:r>
            <w:r w:rsidR="008442A8">
              <w:rPr>
                <w:sz w:val="18"/>
                <w:szCs w:val="18"/>
              </w:rPr>
              <w:t xml:space="preserve">higher levels of </w:t>
            </w:r>
            <w:r w:rsidR="008442A8" w:rsidRPr="00D01333">
              <w:rPr>
                <w:sz w:val="18"/>
                <w:szCs w:val="18"/>
              </w:rPr>
              <w:t>α</w:t>
            </w:r>
            <w:r w:rsidR="008442A8" w:rsidRPr="00DC5E99">
              <w:rPr>
                <w:sz w:val="18"/>
                <w:szCs w:val="18"/>
              </w:rPr>
              <w:t>-</w:t>
            </w:r>
            <w:r w:rsidR="008442A8" w:rsidRPr="00D01333">
              <w:rPr>
                <w:sz w:val="18"/>
                <w:szCs w:val="18"/>
              </w:rPr>
              <w:t>aminoadipate</w:t>
            </w:r>
            <w:r w:rsidR="00D8627B">
              <w:rPr>
                <w:sz w:val="18"/>
                <w:szCs w:val="18"/>
              </w:rPr>
              <w:t>, respectively</w:t>
            </w:r>
            <w:r w:rsidR="00F56FBB">
              <w:rPr>
                <w:sz w:val="18"/>
                <w:szCs w:val="18"/>
              </w:rPr>
              <w:t xml:space="preserve"> (</w:t>
            </w:r>
            <w:r w:rsidR="00B001B2">
              <w:rPr>
                <w:sz w:val="18"/>
                <w:szCs w:val="18"/>
              </w:rPr>
              <w:t>FooDB</w:t>
            </w:r>
            <w:r w:rsidR="001F4002">
              <w:rPr>
                <w:sz w:val="18"/>
                <w:szCs w:val="18"/>
              </w:rPr>
              <w:t xml:space="preserve"> 2019).</w:t>
            </w:r>
          </w:p>
        </w:tc>
      </w:tr>
      <w:tr w:rsidR="00F155CF" w:rsidRPr="00C655BA" w14:paraId="5E4F4BBD" w14:textId="77777777" w:rsidTr="00096614">
        <w:trPr>
          <w:trHeight w:val="50"/>
        </w:trPr>
        <w:tc>
          <w:tcPr>
            <w:tcW w:w="3256" w:type="dxa"/>
            <w:shd w:val="clear" w:color="auto" w:fill="auto"/>
          </w:tcPr>
          <w:p w14:paraId="06863AAA" w14:textId="26D00050" w:rsidR="00F155CF" w:rsidRDefault="00F155CF" w:rsidP="00AE1279">
            <w:pPr>
              <w:spacing w:after="240"/>
              <w:rPr>
                <w:sz w:val="18"/>
                <w:szCs w:val="18"/>
              </w:rPr>
            </w:pPr>
            <w:r w:rsidRPr="00F155CF">
              <w:rPr>
                <w:sz w:val="18"/>
                <w:szCs w:val="18"/>
              </w:rPr>
              <w:t>PPO</w:t>
            </w:r>
            <w:r>
              <w:rPr>
                <w:sz w:val="18"/>
                <w:szCs w:val="18"/>
              </w:rPr>
              <w:t xml:space="preserve"> s</w:t>
            </w:r>
            <w:r w:rsidRPr="00F155CF">
              <w:rPr>
                <w:sz w:val="18"/>
                <w:szCs w:val="18"/>
              </w:rPr>
              <w:t>ilencing causes a modest increase in the levels of chaconine-</w:t>
            </w:r>
            <w:r w:rsidR="00AE1279">
              <w:rPr>
                <w:sz w:val="18"/>
                <w:szCs w:val="18"/>
              </w:rPr>
              <w:t>malonyl</w:t>
            </w:r>
            <w:r w:rsidRPr="00F155CF">
              <w:rPr>
                <w:sz w:val="18"/>
                <w:szCs w:val="18"/>
              </w:rPr>
              <w:t>.</w:t>
            </w:r>
          </w:p>
        </w:tc>
        <w:tc>
          <w:tcPr>
            <w:tcW w:w="1842" w:type="dxa"/>
            <w:shd w:val="clear" w:color="auto" w:fill="auto"/>
          </w:tcPr>
          <w:p w14:paraId="66854C6B" w14:textId="2EF9D8E9" w:rsidR="00F155CF" w:rsidRDefault="00D34A47" w:rsidP="00DF74FB">
            <w:pPr>
              <w:spacing w:after="240"/>
              <w:rPr>
                <w:sz w:val="18"/>
                <w:szCs w:val="18"/>
              </w:rPr>
            </w:pPr>
            <w:r>
              <w:rPr>
                <w:sz w:val="18"/>
                <w:szCs w:val="18"/>
              </w:rPr>
              <w:t>Private submitter (CB)</w:t>
            </w:r>
          </w:p>
        </w:tc>
        <w:tc>
          <w:tcPr>
            <w:tcW w:w="8931" w:type="dxa"/>
            <w:shd w:val="clear" w:color="auto" w:fill="auto"/>
          </w:tcPr>
          <w:p w14:paraId="67537BC4" w14:textId="59ED004D" w:rsidR="00451D5A" w:rsidRDefault="00A41349" w:rsidP="00054AEF">
            <w:pPr>
              <w:pStyle w:val="ListParagraph"/>
              <w:autoSpaceDE w:val="0"/>
              <w:autoSpaceDN w:val="0"/>
              <w:adjustRightInd w:val="0"/>
              <w:spacing w:after="240"/>
              <w:ind w:left="176" w:hanging="176"/>
              <w:rPr>
                <w:sz w:val="18"/>
                <w:szCs w:val="18"/>
              </w:rPr>
            </w:pPr>
            <w:r>
              <w:rPr>
                <w:sz w:val="18"/>
                <w:szCs w:val="18"/>
              </w:rPr>
              <w:t>Chaconine-</w:t>
            </w:r>
            <w:r w:rsidR="00AE1279">
              <w:rPr>
                <w:sz w:val="18"/>
                <w:szCs w:val="18"/>
              </w:rPr>
              <w:t xml:space="preserve">malonyl </w:t>
            </w:r>
            <w:r w:rsidR="00114E35">
              <w:rPr>
                <w:sz w:val="18"/>
                <w:szCs w:val="18"/>
              </w:rPr>
              <w:t>is</w:t>
            </w:r>
            <w:r>
              <w:rPr>
                <w:sz w:val="18"/>
                <w:szCs w:val="18"/>
              </w:rPr>
              <w:t xml:space="preserve"> </w:t>
            </w:r>
            <w:r w:rsidR="00114E35">
              <w:rPr>
                <w:sz w:val="18"/>
                <w:szCs w:val="18"/>
              </w:rPr>
              <w:t xml:space="preserve">a </w:t>
            </w:r>
            <w:r w:rsidR="00054AEF">
              <w:rPr>
                <w:sz w:val="18"/>
                <w:szCs w:val="18"/>
              </w:rPr>
              <w:t>glycoalkaloid</w:t>
            </w:r>
            <w:r w:rsidR="00203CB7">
              <w:rPr>
                <w:sz w:val="18"/>
                <w:szCs w:val="18"/>
              </w:rPr>
              <w:t xml:space="preserve"> </w:t>
            </w:r>
            <w:r w:rsidR="00054AEF">
              <w:rPr>
                <w:sz w:val="18"/>
                <w:szCs w:val="18"/>
              </w:rPr>
              <w:t>found in potato tubers</w:t>
            </w:r>
            <w:r w:rsidR="00C80A0A">
              <w:rPr>
                <w:sz w:val="18"/>
                <w:szCs w:val="18"/>
              </w:rPr>
              <w:t xml:space="preserve"> and is a </w:t>
            </w:r>
            <w:r w:rsidR="00054AEF">
              <w:rPr>
                <w:sz w:val="18"/>
                <w:szCs w:val="18"/>
              </w:rPr>
              <w:t xml:space="preserve">malonylated derivative of </w:t>
            </w:r>
            <w:r w:rsidR="00054AEF" w:rsidRPr="00AE1279">
              <w:rPr>
                <w:sz w:val="18"/>
                <w:szCs w:val="18"/>
              </w:rPr>
              <w:t>α-chaconine</w:t>
            </w:r>
            <w:r w:rsidR="00054AEF">
              <w:rPr>
                <w:sz w:val="18"/>
                <w:szCs w:val="18"/>
              </w:rPr>
              <w:t xml:space="preserve"> (McCue et al., 2007).</w:t>
            </w:r>
            <w:r w:rsidR="00AE1279">
              <w:rPr>
                <w:sz w:val="18"/>
                <w:szCs w:val="18"/>
              </w:rPr>
              <w:t xml:space="preserve"> </w:t>
            </w:r>
            <w:r w:rsidR="00451D5A" w:rsidRPr="00D37125">
              <w:rPr>
                <w:sz w:val="18"/>
                <w:szCs w:val="18"/>
              </w:rPr>
              <w:t>α-chaconine, together with α-</w:t>
            </w:r>
            <w:r w:rsidR="00C80A0A">
              <w:rPr>
                <w:sz w:val="18"/>
                <w:szCs w:val="18"/>
              </w:rPr>
              <w:t>s</w:t>
            </w:r>
            <w:r w:rsidR="00451D5A" w:rsidRPr="00D37125">
              <w:rPr>
                <w:sz w:val="18"/>
                <w:szCs w:val="18"/>
              </w:rPr>
              <w:t>olanine, comprise 95% of the total glycoalkaloids in potato tubers (OECD, 2015).</w:t>
            </w:r>
          </w:p>
          <w:p w14:paraId="5F24735B" w14:textId="77777777" w:rsidR="00451D5A" w:rsidRDefault="00451D5A" w:rsidP="00054AEF">
            <w:pPr>
              <w:pStyle w:val="ListParagraph"/>
              <w:autoSpaceDE w:val="0"/>
              <w:autoSpaceDN w:val="0"/>
              <w:adjustRightInd w:val="0"/>
              <w:spacing w:after="240"/>
              <w:ind w:left="176" w:hanging="176"/>
              <w:rPr>
                <w:sz w:val="18"/>
                <w:szCs w:val="18"/>
              </w:rPr>
            </w:pPr>
          </w:p>
          <w:p w14:paraId="0E95E2AD" w14:textId="2FA00192" w:rsidR="00054AEF" w:rsidRDefault="00054AEF" w:rsidP="00854E83">
            <w:pPr>
              <w:pStyle w:val="ListParagraph"/>
              <w:autoSpaceDE w:val="0"/>
              <w:autoSpaceDN w:val="0"/>
              <w:adjustRightInd w:val="0"/>
              <w:spacing w:after="240"/>
              <w:ind w:left="176" w:hanging="176"/>
              <w:rPr>
                <w:sz w:val="18"/>
                <w:szCs w:val="18"/>
              </w:rPr>
            </w:pPr>
            <w:r>
              <w:rPr>
                <w:sz w:val="18"/>
                <w:szCs w:val="18"/>
              </w:rPr>
              <w:t xml:space="preserve">Chaconine-malonyl has been </w:t>
            </w:r>
            <w:r w:rsidR="00AE1279">
              <w:rPr>
                <w:sz w:val="18"/>
                <w:szCs w:val="18"/>
              </w:rPr>
              <w:t>shown to comprise only a very small proportion of total chaconine</w:t>
            </w:r>
            <w:r>
              <w:rPr>
                <w:sz w:val="18"/>
                <w:szCs w:val="18"/>
              </w:rPr>
              <w:t xml:space="preserve"> in potatoes</w:t>
            </w:r>
            <w:r w:rsidR="00AE1279">
              <w:rPr>
                <w:sz w:val="18"/>
                <w:szCs w:val="18"/>
              </w:rPr>
              <w:t xml:space="preserve"> (</w:t>
            </w:r>
            <w:r w:rsidR="00AE1279" w:rsidRPr="00AE1279">
              <w:rPr>
                <w:sz w:val="18"/>
                <w:szCs w:val="18"/>
              </w:rPr>
              <w:t>α-chaconine + chaconine-malonyl</w:t>
            </w:r>
            <w:r w:rsidR="00AE1279">
              <w:rPr>
                <w:sz w:val="18"/>
                <w:szCs w:val="18"/>
              </w:rPr>
              <w:t>)</w:t>
            </w:r>
            <w:r w:rsidR="00D37125">
              <w:rPr>
                <w:sz w:val="18"/>
                <w:szCs w:val="18"/>
              </w:rPr>
              <w:t>:</w:t>
            </w:r>
            <w:r w:rsidR="00AE1279">
              <w:rPr>
                <w:sz w:val="18"/>
                <w:szCs w:val="18"/>
              </w:rPr>
              <w:t xml:space="preserve"> </w:t>
            </w:r>
            <w:r w:rsidR="00D37125">
              <w:rPr>
                <w:sz w:val="18"/>
                <w:szCs w:val="18"/>
              </w:rPr>
              <w:t xml:space="preserve">1% of total chaconine in non-GM potatoes and 1.6% of total chaconine in PPO-silenced potatoes (Shepherd et al., 2015). </w:t>
            </w:r>
            <w:r w:rsidR="00DF629A">
              <w:rPr>
                <w:sz w:val="18"/>
                <w:szCs w:val="18"/>
              </w:rPr>
              <w:t>T</w:t>
            </w:r>
            <w:r w:rsidR="00854E83">
              <w:rPr>
                <w:sz w:val="18"/>
                <w:szCs w:val="18"/>
              </w:rPr>
              <w:t xml:space="preserve">he authors </w:t>
            </w:r>
            <w:r w:rsidR="00D37125">
              <w:rPr>
                <w:sz w:val="18"/>
                <w:szCs w:val="18"/>
              </w:rPr>
              <w:t>concluded</w:t>
            </w:r>
            <w:r w:rsidR="00382240">
              <w:rPr>
                <w:sz w:val="18"/>
                <w:szCs w:val="18"/>
              </w:rPr>
              <w:t xml:space="preserve"> the difference is</w:t>
            </w:r>
            <w:r w:rsidR="00D37125">
              <w:rPr>
                <w:sz w:val="18"/>
                <w:szCs w:val="18"/>
              </w:rPr>
              <w:t xml:space="preserve"> relatively small and would not be a safety concern.</w:t>
            </w:r>
          </w:p>
          <w:p w14:paraId="5450A00D" w14:textId="77777777" w:rsidR="00054AEF" w:rsidRDefault="00054AEF" w:rsidP="00054AEF">
            <w:pPr>
              <w:pStyle w:val="ListParagraph"/>
              <w:autoSpaceDE w:val="0"/>
              <w:autoSpaceDN w:val="0"/>
              <w:adjustRightInd w:val="0"/>
              <w:spacing w:after="240"/>
              <w:ind w:left="176" w:hanging="176"/>
              <w:rPr>
                <w:sz w:val="18"/>
                <w:szCs w:val="18"/>
              </w:rPr>
            </w:pPr>
          </w:p>
          <w:p w14:paraId="061FCB73" w14:textId="62B7C5CF" w:rsidR="00553756" w:rsidRPr="00096614" w:rsidRDefault="00C80A0A" w:rsidP="001A567B">
            <w:pPr>
              <w:pStyle w:val="ListParagraph"/>
              <w:autoSpaceDE w:val="0"/>
              <w:autoSpaceDN w:val="0"/>
              <w:adjustRightInd w:val="0"/>
              <w:spacing w:after="240"/>
              <w:ind w:left="176" w:hanging="176"/>
              <w:rPr>
                <w:sz w:val="18"/>
                <w:szCs w:val="18"/>
              </w:rPr>
            </w:pPr>
            <w:r>
              <w:rPr>
                <w:sz w:val="18"/>
                <w:szCs w:val="18"/>
              </w:rPr>
              <w:t xml:space="preserve">FSANZ’s assessment indicates </w:t>
            </w:r>
            <w:r w:rsidR="00382240">
              <w:rPr>
                <w:sz w:val="18"/>
                <w:szCs w:val="18"/>
              </w:rPr>
              <w:t>t</w:t>
            </w:r>
            <w:r w:rsidR="00854E83">
              <w:rPr>
                <w:sz w:val="18"/>
                <w:szCs w:val="18"/>
              </w:rPr>
              <w:t xml:space="preserve">he levels of glycoalkaloids in </w:t>
            </w:r>
            <w:r w:rsidR="00233991">
              <w:rPr>
                <w:sz w:val="18"/>
                <w:szCs w:val="18"/>
              </w:rPr>
              <w:t xml:space="preserve">potato lines </w:t>
            </w:r>
            <w:r w:rsidR="00854E83">
              <w:rPr>
                <w:sz w:val="18"/>
                <w:szCs w:val="18"/>
              </w:rPr>
              <w:t xml:space="preserve">V11 and Z6 </w:t>
            </w:r>
            <w:r>
              <w:rPr>
                <w:sz w:val="18"/>
                <w:szCs w:val="18"/>
              </w:rPr>
              <w:t xml:space="preserve">are </w:t>
            </w:r>
            <w:r w:rsidR="00854E83">
              <w:rPr>
                <w:sz w:val="18"/>
                <w:szCs w:val="18"/>
              </w:rPr>
              <w:t xml:space="preserve">within the </w:t>
            </w:r>
            <w:r>
              <w:rPr>
                <w:sz w:val="18"/>
                <w:szCs w:val="18"/>
              </w:rPr>
              <w:t xml:space="preserve">range of </w:t>
            </w:r>
            <w:r w:rsidR="00854E83">
              <w:rPr>
                <w:sz w:val="18"/>
                <w:szCs w:val="18"/>
              </w:rPr>
              <w:t xml:space="preserve">natural variation that </w:t>
            </w:r>
            <w:r w:rsidR="001A567B">
              <w:rPr>
                <w:sz w:val="18"/>
                <w:szCs w:val="18"/>
              </w:rPr>
              <w:t xml:space="preserve">exists </w:t>
            </w:r>
            <w:r>
              <w:rPr>
                <w:sz w:val="18"/>
                <w:szCs w:val="18"/>
              </w:rPr>
              <w:t xml:space="preserve">for </w:t>
            </w:r>
            <w:r w:rsidR="00854E83">
              <w:rPr>
                <w:sz w:val="18"/>
                <w:szCs w:val="18"/>
              </w:rPr>
              <w:t>non-GM potatoes</w:t>
            </w:r>
            <w:r>
              <w:rPr>
                <w:sz w:val="18"/>
                <w:szCs w:val="18"/>
              </w:rPr>
              <w:t xml:space="preserve"> and do not pose a safety concern</w:t>
            </w:r>
            <w:r w:rsidR="00854E83">
              <w:rPr>
                <w:sz w:val="18"/>
                <w:szCs w:val="18"/>
              </w:rPr>
              <w:t xml:space="preserve">. </w:t>
            </w:r>
          </w:p>
        </w:tc>
      </w:tr>
      <w:tr w:rsidR="00F155CF" w:rsidRPr="00C655BA" w14:paraId="5DFAAD68" w14:textId="77777777" w:rsidTr="00F04247">
        <w:trPr>
          <w:trHeight w:val="540"/>
        </w:trPr>
        <w:tc>
          <w:tcPr>
            <w:tcW w:w="3256" w:type="dxa"/>
            <w:shd w:val="clear" w:color="auto" w:fill="auto"/>
          </w:tcPr>
          <w:p w14:paraId="0A713A9F" w14:textId="57C2A029" w:rsidR="00F155CF" w:rsidRPr="00E2518E" w:rsidRDefault="00F155CF" w:rsidP="00E2518E">
            <w:pPr>
              <w:spacing w:after="240"/>
              <w:rPr>
                <w:sz w:val="18"/>
                <w:szCs w:val="18"/>
              </w:rPr>
            </w:pPr>
            <w:r>
              <w:rPr>
                <w:sz w:val="18"/>
                <w:szCs w:val="18"/>
              </w:rPr>
              <w:t>Since the PPO enzyme is silenced in potato lines V11 and Z6 it will conceal  disease</w:t>
            </w:r>
            <w:r w:rsidR="00505A3B">
              <w:rPr>
                <w:sz w:val="18"/>
                <w:szCs w:val="18"/>
              </w:rPr>
              <w:t>.</w:t>
            </w:r>
            <w:r>
              <w:rPr>
                <w:sz w:val="18"/>
                <w:szCs w:val="18"/>
              </w:rPr>
              <w:t xml:space="preserve"> </w:t>
            </w:r>
          </w:p>
        </w:tc>
        <w:tc>
          <w:tcPr>
            <w:tcW w:w="1842" w:type="dxa"/>
            <w:shd w:val="clear" w:color="auto" w:fill="auto"/>
          </w:tcPr>
          <w:p w14:paraId="59A611B5" w14:textId="706CEC93" w:rsidR="00F155CF" w:rsidRPr="00E2518E" w:rsidRDefault="00D34A47" w:rsidP="00E2518E">
            <w:pPr>
              <w:spacing w:after="240"/>
              <w:rPr>
                <w:sz w:val="18"/>
                <w:szCs w:val="18"/>
              </w:rPr>
            </w:pPr>
            <w:r>
              <w:rPr>
                <w:sz w:val="18"/>
                <w:szCs w:val="18"/>
              </w:rPr>
              <w:t>Private submitter (JW)</w:t>
            </w:r>
          </w:p>
        </w:tc>
        <w:tc>
          <w:tcPr>
            <w:tcW w:w="8931" w:type="dxa"/>
            <w:shd w:val="clear" w:color="auto" w:fill="auto"/>
          </w:tcPr>
          <w:p w14:paraId="00C9EFA1" w14:textId="537A1345" w:rsidR="00F155CF" w:rsidRPr="0032437E" w:rsidRDefault="001A567B" w:rsidP="00FA58F0">
            <w:pPr>
              <w:pStyle w:val="ListParagraph"/>
              <w:autoSpaceDE w:val="0"/>
              <w:autoSpaceDN w:val="0"/>
              <w:adjustRightInd w:val="0"/>
              <w:spacing w:after="240"/>
              <w:ind w:left="176" w:hanging="176"/>
              <w:rPr>
                <w:sz w:val="18"/>
                <w:szCs w:val="18"/>
              </w:rPr>
            </w:pPr>
            <w:r>
              <w:rPr>
                <w:sz w:val="18"/>
                <w:szCs w:val="18"/>
              </w:rPr>
              <w:t xml:space="preserve">FSANZ considers that there </w:t>
            </w:r>
            <w:r w:rsidR="0032437E">
              <w:rPr>
                <w:sz w:val="18"/>
                <w:szCs w:val="18"/>
              </w:rPr>
              <w:t xml:space="preserve">is no evidence to support the claim that </w:t>
            </w:r>
            <w:r>
              <w:rPr>
                <w:sz w:val="18"/>
                <w:szCs w:val="18"/>
              </w:rPr>
              <w:t xml:space="preserve">potato lines V11 and Z6 </w:t>
            </w:r>
            <w:r w:rsidR="0032437E">
              <w:rPr>
                <w:sz w:val="18"/>
                <w:szCs w:val="18"/>
              </w:rPr>
              <w:t xml:space="preserve">are more susceptible to disease than non-GM potatoes, or that they will not show symptoms when infected. </w:t>
            </w:r>
            <w:r w:rsidR="00266E5C">
              <w:rPr>
                <w:sz w:val="18"/>
                <w:szCs w:val="18"/>
              </w:rPr>
              <w:t>A</w:t>
            </w:r>
            <w:r w:rsidR="00B80D9D">
              <w:rPr>
                <w:sz w:val="18"/>
                <w:szCs w:val="18"/>
              </w:rPr>
              <w:t xml:space="preserve">s with non-GM tubers, </w:t>
            </w:r>
            <w:r w:rsidR="0032437E">
              <w:rPr>
                <w:sz w:val="18"/>
                <w:szCs w:val="18"/>
              </w:rPr>
              <w:t>V11 and Z6</w:t>
            </w:r>
            <w:r w:rsidR="005C5AB2">
              <w:rPr>
                <w:sz w:val="18"/>
                <w:szCs w:val="18"/>
              </w:rPr>
              <w:t xml:space="preserve"> tubers</w:t>
            </w:r>
            <w:r w:rsidR="0032437E">
              <w:rPr>
                <w:sz w:val="18"/>
                <w:szCs w:val="18"/>
              </w:rPr>
              <w:t xml:space="preserve"> that exhibit disease symptoms </w:t>
            </w:r>
            <w:r w:rsidR="00266E5C">
              <w:rPr>
                <w:sz w:val="18"/>
                <w:szCs w:val="18"/>
              </w:rPr>
              <w:t xml:space="preserve">would </w:t>
            </w:r>
            <w:r w:rsidR="0032437E">
              <w:rPr>
                <w:sz w:val="18"/>
                <w:szCs w:val="18"/>
              </w:rPr>
              <w:t xml:space="preserve">be removed during </w:t>
            </w:r>
            <w:r>
              <w:rPr>
                <w:sz w:val="18"/>
                <w:szCs w:val="18"/>
              </w:rPr>
              <w:t xml:space="preserve">the usual </w:t>
            </w:r>
            <w:r w:rsidR="0032437E">
              <w:rPr>
                <w:sz w:val="18"/>
                <w:szCs w:val="18"/>
              </w:rPr>
              <w:t>quality checks in the food supply chain.</w:t>
            </w:r>
          </w:p>
        </w:tc>
      </w:tr>
      <w:tr w:rsidR="00F155CF" w:rsidRPr="00C655BA" w14:paraId="2C95AFC1" w14:textId="77777777" w:rsidTr="00D40A92">
        <w:tc>
          <w:tcPr>
            <w:tcW w:w="3256" w:type="dxa"/>
            <w:shd w:val="clear" w:color="auto" w:fill="auto"/>
          </w:tcPr>
          <w:p w14:paraId="7E4B034B" w14:textId="5776791F" w:rsidR="00F155CF" w:rsidRDefault="00F155CF" w:rsidP="00F155CF">
            <w:pPr>
              <w:spacing w:after="240"/>
              <w:rPr>
                <w:sz w:val="18"/>
                <w:szCs w:val="18"/>
              </w:rPr>
            </w:pPr>
            <w:r>
              <w:rPr>
                <w:sz w:val="18"/>
                <w:szCs w:val="18"/>
              </w:rPr>
              <w:t>Concerns regarding unintended effects of genetic engineering; FSANZ should require the applicant to use ‘omic’ techniques to look for alterations in RNA, protein or metabolite expression</w:t>
            </w:r>
            <w:r w:rsidR="00505A3B">
              <w:rPr>
                <w:sz w:val="18"/>
                <w:szCs w:val="18"/>
              </w:rPr>
              <w:t>.</w:t>
            </w:r>
          </w:p>
          <w:p w14:paraId="3E9183B1" w14:textId="42A35251" w:rsidR="00A4590A" w:rsidRPr="00D11562" w:rsidRDefault="00A4590A" w:rsidP="00F155CF">
            <w:pPr>
              <w:spacing w:after="240"/>
              <w:rPr>
                <w:sz w:val="18"/>
                <w:szCs w:val="18"/>
              </w:rPr>
            </w:pPr>
          </w:p>
        </w:tc>
        <w:tc>
          <w:tcPr>
            <w:tcW w:w="1842" w:type="dxa"/>
            <w:shd w:val="clear" w:color="auto" w:fill="auto"/>
          </w:tcPr>
          <w:p w14:paraId="6F75E860" w14:textId="43483D0C" w:rsidR="00F155CF" w:rsidRDefault="00F155CF" w:rsidP="00505A3B">
            <w:pPr>
              <w:spacing w:after="240"/>
              <w:rPr>
                <w:sz w:val="18"/>
                <w:szCs w:val="18"/>
              </w:rPr>
            </w:pPr>
            <w:r>
              <w:rPr>
                <w:sz w:val="18"/>
                <w:szCs w:val="18"/>
              </w:rPr>
              <w:t>Joint submission; AFSA</w:t>
            </w:r>
            <w:r w:rsidR="00505A3B">
              <w:rPr>
                <w:sz w:val="18"/>
                <w:szCs w:val="18"/>
              </w:rPr>
              <w:t xml:space="preserve">; </w:t>
            </w:r>
            <w:r w:rsidR="00505A3B" w:rsidRPr="008E426F">
              <w:rPr>
                <w:sz w:val="18"/>
                <w:szCs w:val="18"/>
              </w:rPr>
              <w:t>Late</w:t>
            </w:r>
            <w:r w:rsidR="00505A3B" w:rsidRPr="008E426F">
              <w:rPr>
                <w:i/>
                <w:sz w:val="18"/>
                <w:szCs w:val="18"/>
              </w:rPr>
              <w:t xml:space="preserve"> Comment (SACA)</w:t>
            </w:r>
          </w:p>
        </w:tc>
        <w:tc>
          <w:tcPr>
            <w:tcW w:w="8931" w:type="dxa"/>
            <w:shd w:val="clear" w:color="auto" w:fill="auto"/>
          </w:tcPr>
          <w:p w14:paraId="64AD677E" w14:textId="57B2B1CC" w:rsidR="004E3B9B" w:rsidRPr="004E3B9B" w:rsidRDefault="000C3EE7" w:rsidP="004E3B9B">
            <w:pPr>
              <w:pStyle w:val="ListParagraph"/>
              <w:autoSpaceDE w:val="0"/>
              <w:autoSpaceDN w:val="0"/>
              <w:adjustRightInd w:val="0"/>
              <w:spacing w:after="240"/>
              <w:ind w:left="176" w:hanging="176"/>
              <w:rPr>
                <w:rFonts w:cs="Arial"/>
                <w:sz w:val="18"/>
                <w:szCs w:val="18"/>
              </w:rPr>
            </w:pPr>
            <w:r>
              <w:rPr>
                <w:sz w:val="18"/>
                <w:szCs w:val="18"/>
              </w:rPr>
              <w:t xml:space="preserve">The occurrence of unintended changes is not a phenomenon specific to genetic engineering and also occurs in conventional breeding. Over the last 25 years, </w:t>
            </w:r>
            <w:r>
              <w:rPr>
                <w:rFonts w:cs="Arial"/>
                <w:sz w:val="18"/>
                <w:szCs w:val="18"/>
              </w:rPr>
              <w:t>the</w:t>
            </w:r>
            <w:r w:rsidRPr="00225712">
              <w:rPr>
                <w:rFonts w:cs="Arial"/>
                <w:sz w:val="18"/>
                <w:szCs w:val="18"/>
              </w:rPr>
              <w:t xml:space="preserve"> accumulated evidence and regulatory experience do not support the hypothesis that GM foods have a greater propensity for unintended </w:t>
            </w:r>
            <w:r>
              <w:rPr>
                <w:rFonts w:cs="Arial"/>
                <w:sz w:val="18"/>
                <w:szCs w:val="18"/>
              </w:rPr>
              <w:t>changes</w:t>
            </w:r>
            <w:r w:rsidRPr="00225712">
              <w:rPr>
                <w:rFonts w:cs="Arial"/>
                <w:sz w:val="18"/>
                <w:szCs w:val="18"/>
              </w:rPr>
              <w:t xml:space="preserve"> or that the technology is itself inherently harmful or a major source of risk to the consumer</w:t>
            </w:r>
            <w:r>
              <w:rPr>
                <w:rFonts w:cs="Arial"/>
                <w:sz w:val="18"/>
                <w:szCs w:val="18"/>
              </w:rPr>
              <w:t xml:space="preserve">, compared to </w:t>
            </w:r>
            <w:r w:rsidR="001A567B">
              <w:rPr>
                <w:rFonts w:cs="Arial"/>
                <w:sz w:val="18"/>
                <w:szCs w:val="18"/>
              </w:rPr>
              <w:t>non-GM foods</w:t>
            </w:r>
            <w:r w:rsidRPr="00101973">
              <w:rPr>
                <w:rFonts w:ascii="Times New Roman" w:hAnsi="Times New Roman"/>
                <w:sz w:val="24"/>
              </w:rPr>
              <w:t xml:space="preserve"> </w:t>
            </w:r>
            <w:r w:rsidRPr="00225712">
              <w:rPr>
                <w:rFonts w:cs="Arial"/>
                <w:sz w:val="18"/>
                <w:szCs w:val="18"/>
              </w:rPr>
              <w:t>(He</w:t>
            </w:r>
            <w:r>
              <w:rPr>
                <w:rFonts w:cs="Arial"/>
                <w:sz w:val="18"/>
                <w:szCs w:val="18"/>
              </w:rPr>
              <w:t>rman &amp; Price 2013, Ricroch</w:t>
            </w:r>
            <w:r w:rsidRPr="00225712">
              <w:rPr>
                <w:rFonts w:cs="Arial"/>
                <w:sz w:val="18"/>
                <w:szCs w:val="18"/>
              </w:rPr>
              <w:t xml:space="preserve"> 2013,</w:t>
            </w:r>
            <w:r>
              <w:rPr>
                <w:rFonts w:cs="Arial"/>
                <w:sz w:val="18"/>
                <w:szCs w:val="18"/>
              </w:rPr>
              <w:t xml:space="preserve"> Ladics et al 2015, FSANZ 2019).</w:t>
            </w:r>
          </w:p>
          <w:p w14:paraId="14B21F0B" w14:textId="77777777" w:rsidR="004E3B9B" w:rsidRDefault="004E3B9B" w:rsidP="000C3EE7">
            <w:pPr>
              <w:pStyle w:val="ListParagraph"/>
              <w:autoSpaceDE w:val="0"/>
              <w:autoSpaceDN w:val="0"/>
              <w:adjustRightInd w:val="0"/>
              <w:spacing w:after="240"/>
              <w:ind w:left="176" w:hanging="176"/>
              <w:rPr>
                <w:rFonts w:cs="Arial"/>
                <w:sz w:val="18"/>
                <w:szCs w:val="18"/>
              </w:rPr>
            </w:pPr>
          </w:p>
          <w:p w14:paraId="0F02216C" w14:textId="2552E291" w:rsidR="004E3B9B" w:rsidRPr="004E3B9B" w:rsidRDefault="00722216" w:rsidP="000C3EE7">
            <w:pPr>
              <w:pStyle w:val="ListParagraph"/>
              <w:autoSpaceDE w:val="0"/>
              <w:autoSpaceDN w:val="0"/>
              <w:adjustRightInd w:val="0"/>
              <w:spacing w:after="240"/>
              <w:ind w:left="176" w:hanging="176"/>
              <w:rPr>
                <w:rFonts w:cs="Arial"/>
                <w:color w:val="FF0000"/>
                <w:sz w:val="18"/>
                <w:szCs w:val="18"/>
              </w:rPr>
            </w:pPr>
            <w:r w:rsidRPr="00722216">
              <w:rPr>
                <w:rFonts w:cs="Arial"/>
                <w:sz w:val="18"/>
                <w:szCs w:val="18"/>
              </w:rPr>
              <w:t>‘Omics’ is a generic term referring to non-targeted, profiling approaches</w:t>
            </w:r>
            <w:r w:rsidR="0006627D">
              <w:rPr>
                <w:rFonts w:cs="Arial"/>
                <w:sz w:val="18"/>
                <w:szCs w:val="18"/>
              </w:rPr>
              <w:t xml:space="preserve"> that can measure a broad and large number of molecules</w:t>
            </w:r>
            <w:r>
              <w:rPr>
                <w:rFonts w:cs="Arial"/>
                <w:sz w:val="18"/>
                <w:szCs w:val="18"/>
              </w:rPr>
              <w:t xml:space="preserve">. </w:t>
            </w:r>
            <w:r w:rsidR="003B4D7F">
              <w:rPr>
                <w:rFonts w:cs="Arial"/>
                <w:sz w:val="18"/>
                <w:szCs w:val="18"/>
              </w:rPr>
              <w:t>FSANZ</w:t>
            </w:r>
            <w:r w:rsidR="007C4689">
              <w:rPr>
                <w:rFonts w:cs="Arial"/>
                <w:sz w:val="18"/>
                <w:szCs w:val="18"/>
              </w:rPr>
              <w:t xml:space="preserve"> considers that</w:t>
            </w:r>
            <w:r w:rsidR="003B4D7F">
              <w:rPr>
                <w:rFonts w:cs="Arial"/>
                <w:sz w:val="18"/>
                <w:szCs w:val="18"/>
              </w:rPr>
              <w:t xml:space="preserve"> the </w:t>
            </w:r>
            <w:r>
              <w:rPr>
                <w:rFonts w:cs="Arial"/>
                <w:sz w:val="18"/>
                <w:szCs w:val="18"/>
              </w:rPr>
              <w:t>idea that omic techniques can better inform a safety assessment is open to debate</w:t>
            </w:r>
            <w:r w:rsidR="0006627D">
              <w:rPr>
                <w:rFonts w:cs="Arial"/>
                <w:sz w:val="18"/>
                <w:szCs w:val="18"/>
              </w:rPr>
              <w:t xml:space="preserve">, especially since experimental conditions need to be properly controlled in order for the data to be meaningful. </w:t>
            </w:r>
            <w:r w:rsidR="000F3D86">
              <w:rPr>
                <w:rFonts w:cs="Arial"/>
                <w:sz w:val="18"/>
                <w:szCs w:val="18"/>
              </w:rPr>
              <w:t xml:space="preserve">Several proteomic studies, for example, have repeatedly confirmed that the presence of the transgene and the genetic engineering process does not lead to unintended changes in GM crops (Gong and Wang, 2013). </w:t>
            </w:r>
            <w:r w:rsidR="000F3D86">
              <w:rPr>
                <w:sz w:val="18"/>
                <w:szCs w:val="18"/>
              </w:rPr>
              <w:t xml:space="preserve">When differences were seen, these were associated with differences in agronomic practices, detection methodologies </w:t>
            </w:r>
            <w:r w:rsidR="00576AB1">
              <w:rPr>
                <w:sz w:val="18"/>
                <w:szCs w:val="18"/>
              </w:rPr>
              <w:t>or</w:t>
            </w:r>
            <w:r w:rsidR="000F3D86">
              <w:rPr>
                <w:sz w:val="18"/>
                <w:szCs w:val="18"/>
              </w:rPr>
              <w:t xml:space="preserve"> disruption of endogenous genes.</w:t>
            </w:r>
            <w:r w:rsidR="000F3D86">
              <w:rPr>
                <w:rFonts w:cs="Arial"/>
                <w:sz w:val="18"/>
                <w:szCs w:val="18"/>
              </w:rPr>
              <w:t xml:space="preserve"> Further information can be found in the following papers: </w:t>
            </w:r>
            <w:r w:rsidR="000F3D86">
              <w:rPr>
                <w:sz w:val="18"/>
                <w:szCs w:val="18"/>
              </w:rPr>
              <w:t xml:space="preserve">Cellini </w:t>
            </w:r>
            <w:r w:rsidR="000F3D86" w:rsidRPr="00877C89">
              <w:rPr>
                <w:i/>
                <w:sz w:val="18"/>
                <w:szCs w:val="18"/>
              </w:rPr>
              <w:t>et al</w:t>
            </w:r>
            <w:r w:rsidR="000F3D86">
              <w:rPr>
                <w:sz w:val="18"/>
                <w:szCs w:val="18"/>
              </w:rPr>
              <w:t xml:space="preserve"> (2004), Chassy (2010) and Ricroch (2013).</w:t>
            </w:r>
          </w:p>
          <w:p w14:paraId="59B3052E" w14:textId="77777777" w:rsidR="004E3B9B" w:rsidRDefault="004E3B9B" w:rsidP="000C3EE7">
            <w:pPr>
              <w:pStyle w:val="ListParagraph"/>
              <w:autoSpaceDE w:val="0"/>
              <w:autoSpaceDN w:val="0"/>
              <w:adjustRightInd w:val="0"/>
              <w:spacing w:after="240"/>
              <w:ind w:left="176" w:hanging="176"/>
              <w:rPr>
                <w:sz w:val="18"/>
                <w:szCs w:val="18"/>
              </w:rPr>
            </w:pPr>
          </w:p>
          <w:p w14:paraId="1960AB3B" w14:textId="4B855283" w:rsidR="00F155CF" w:rsidRDefault="004E3B9B" w:rsidP="004E3B9B">
            <w:pPr>
              <w:pStyle w:val="ListParagraph"/>
              <w:autoSpaceDE w:val="0"/>
              <w:autoSpaceDN w:val="0"/>
              <w:adjustRightInd w:val="0"/>
              <w:spacing w:after="240"/>
              <w:ind w:left="176" w:hanging="176"/>
              <w:rPr>
                <w:sz w:val="18"/>
                <w:szCs w:val="18"/>
              </w:rPr>
            </w:pPr>
            <w:r w:rsidRPr="00D27AED">
              <w:rPr>
                <w:sz w:val="18"/>
                <w:szCs w:val="18"/>
              </w:rPr>
              <w:t>An anal</w:t>
            </w:r>
            <w:r>
              <w:rPr>
                <w:sz w:val="18"/>
                <w:szCs w:val="18"/>
              </w:rPr>
              <w:t>ysis of the</w:t>
            </w:r>
            <w:r w:rsidR="00722216">
              <w:rPr>
                <w:sz w:val="18"/>
                <w:szCs w:val="18"/>
              </w:rPr>
              <w:t xml:space="preserve"> scientific</w:t>
            </w:r>
            <w:r>
              <w:rPr>
                <w:sz w:val="18"/>
                <w:szCs w:val="18"/>
              </w:rPr>
              <w:t xml:space="preserve"> shortcomings of the study cited to support the use of ‘omic’ techniques in safety assessments can be found in </w:t>
            </w:r>
            <w:hyperlink r:id="rId13" w:history="1">
              <w:r w:rsidRPr="004E3B9B">
                <w:rPr>
                  <w:rStyle w:val="Hyperlink"/>
                  <w:sz w:val="18"/>
                  <w:szCs w:val="18"/>
                </w:rPr>
                <w:t>EFSA (2017)</w:t>
              </w:r>
            </w:hyperlink>
            <w:r>
              <w:rPr>
                <w:rStyle w:val="FootnoteReference"/>
                <w:sz w:val="18"/>
                <w:szCs w:val="18"/>
              </w:rPr>
              <w:footnoteReference w:id="5"/>
            </w:r>
            <w:r>
              <w:rPr>
                <w:sz w:val="18"/>
                <w:szCs w:val="18"/>
              </w:rPr>
              <w:t>.</w:t>
            </w:r>
          </w:p>
        </w:tc>
      </w:tr>
      <w:tr w:rsidR="00F155CF" w:rsidRPr="00C655BA" w14:paraId="66388854" w14:textId="77777777" w:rsidTr="00D40A92">
        <w:tc>
          <w:tcPr>
            <w:tcW w:w="3256" w:type="dxa"/>
            <w:shd w:val="clear" w:color="auto" w:fill="auto"/>
          </w:tcPr>
          <w:p w14:paraId="614791B0" w14:textId="4BD7DAA5" w:rsidR="00F155CF" w:rsidRPr="00D11562" w:rsidRDefault="00F155CF" w:rsidP="00F155CF">
            <w:pPr>
              <w:spacing w:after="240"/>
              <w:rPr>
                <w:sz w:val="18"/>
                <w:szCs w:val="18"/>
              </w:rPr>
            </w:pPr>
            <w:r w:rsidRPr="00D11562">
              <w:rPr>
                <w:sz w:val="18"/>
                <w:szCs w:val="18"/>
              </w:rPr>
              <w:t xml:space="preserve">Strict GM labelling requirements should be imposed so that a purchaser is clearly informed; </w:t>
            </w:r>
            <w:r>
              <w:rPr>
                <w:sz w:val="18"/>
                <w:szCs w:val="18"/>
              </w:rPr>
              <w:t>N</w:t>
            </w:r>
            <w:r w:rsidRPr="0050102F">
              <w:rPr>
                <w:sz w:val="18"/>
                <w:szCs w:val="18"/>
              </w:rPr>
              <w:t>o labelling</w:t>
            </w:r>
            <w:r>
              <w:rPr>
                <w:sz w:val="18"/>
                <w:szCs w:val="18"/>
              </w:rPr>
              <w:t xml:space="preserve"> will be required</w:t>
            </w:r>
            <w:r w:rsidR="00505A3B">
              <w:rPr>
                <w:sz w:val="18"/>
                <w:szCs w:val="18"/>
              </w:rPr>
              <w:t>.</w:t>
            </w:r>
          </w:p>
        </w:tc>
        <w:tc>
          <w:tcPr>
            <w:tcW w:w="1842" w:type="dxa"/>
            <w:shd w:val="clear" w:color="auto" w:fill="auto"/>
          </w:tcPr>
          <w:p w14:paraId="11ACF457" w14:textId="5C824E0A" w:rsidR="00F155CF" w:rsidRPr="00D11562" w:rsidRDefault="00F155CF" w:rsidP="00F155CF">
            <w:pPr>
              <w:spacing w:after="240"/>
              <w:rPr>
                <w:sz w:val="18"/>
                <w:szCs w:val="18"/>
              </w:rPr>
            </w:pPr>
            <w:r>
              <w:rPr>
                <w:sz w:val="18"/>
                <w:szCs w:val="18"/>
              </w:rPr>
              <w:t xml:space="preserve">Joint submission; </w:t>
            </w:r>
            <w:r w:rsidRPr="00D11562">
              <w:rPr>
                <w:sz w:val="18"/>
                <w:szCs w:val="18"/>
              </w:rPr>
              <w:t>AFSA,</w:t>
            </w:r>
            <w:r>
              <w:rPr>
                <w:color w:val="FF0000"/>
                <w:sz w:val="18"/>
                <w:szCs w:val="18"/>
              </w:rPr>
              <w:t xml:space="preserve"> </w:t>
            </w:r>
            <w:r w:rsidRPr="008E426F">
              <w:rPr>
                <w:sz w:val="18"/>
                <w:szCs w:val="18"/>
              </w:rPr>
              <w:t>Late</w:t>
            </w:r>
            <w:r w:rsidRPr="008E426F">
              <w:rPr>
                <w:i/>
                <w:sz w:val="18"/>
                <w:szCs w:val="18"/>
              </w:rPr>
              <w:t xml:space="preserve"> Comment (SACA)</w:t>
            </w:r>
            <w:r>
              <w:rPr>
                <w:i/>
                <w:sz w:val="18"/>
                <w:szCs w:val="18"/>
              </w:rPr>
              <w:t xml:space="preserve">; </w:t>
            </w:r>
          </w:p>
        </w:tc>
        <w:tc>
          <w:tcPr>
            <w:tcW w:w="8931" w:type="dxa"/>
            <w:shd w:val="clear" w:color="auto" w:fill="auto"/>
          </w:tcPr>
          <w:p w14:paraId="115C7DEC" w14:textId="64F623A7" w:rsidR="00F155CF" w:rsidRPr="004F011D" w:rsidRDefault="00F155CF" w:rsidP="00F155CF">
            <w:pPr>
              <w:pStyle w:val="ListParagraph"/>
              <w:autoSpaceDE w:val="0"/>
              <w:autoSpaceDN w:val="0"/>
              <w:adjustRightInd w:val="0"/>
              <w:spacing w:after="240"/>
              <w:ind w:left="176" w:hanging="176"/>
              <w:rPr>
                <w:sz w:val="18"/>
                <w:szCs w:val="18"/>
              </w:rPr>
            </w:pPr>
            <w:r>
              <w:rPr>
                <w:sz w:val="18"/>
                <w:szCs w:val="18"/>
              </w:rPr>
              <w:t xml:space="preserve">The labelling requirements in </w:t>
            </w:r>
            <w:r w:rsidRPr="0008706C">
              <w:rPr>
                <w:sz w:val="18"/>
                <w:szCs w:val="18"/>
              </w:rPr>
              <w:t>the Code</w:t>
            </w:r>
            <w:r>
              <w:rPr>
                <w:sz w:val="18"/>
                <w:szCs w:val="18"/>
              </w:rPr>
              <w:t xml:space="preserve"> for approved GM foods will apply.</w:t>
            </w:r>
            <w:r>
              <w:t xml:space="preserve"> </w:t>
            </w:r>
            <w:r w:rsidRPr="0025110B">
              <w:rPr>
                <w:sz w:val="18"/>
                <w:szCs w:val="18"/>
              </w:rPr>
              <w:t xml:space="preserve">The </w:t>
            </w:r>
            <w:r>
              <w:rPr>
                <w:sz w:val="18"/>
                <w:szCs w:val="18"/>
              </w:rPr>
              <w:t xml:space="preserve">purpose of </w:t>
            </w:r>
            <w:r w:rsidRPr="0025110B">
              <w:rPr>
                <w:sz w:val="18"/>
                <w:szCs w:val="18"/>
              </w:rPr>
              <w:t>labelling of approved GM foods is to assist consumers to make an informed choice about the food they buy. Australia’s and New Zealand’s GM food labelling laws are based on the presence of GM material or altered characteristics in the final food (‘product-based’ labelling)</w:t>
            </w:r>
            <w:r>
              <w:rPr>
                <w:sz w:val="18"/>
                <w:szCs w:val="18"/>
              </w:rPr>
              <w:t>.</w:t>
            </w:r>
            <w:r w:rsidRPr="0025110B">
              <w:rPr>
                <w:sz w:val="18"/>
                <w:szCs w:val="18"/>
              </w:rPr>
              <w:t xml:space="preserve"> </w:t>
            </w:r>
            <w:r>
              <w:rPr>
                <w:sz w:val="18"/>
                <w:szCs w:val="18"/>
              </w:rPr>
              <w:t>Food derived from potato lines V11 and Z6 w</w:t>
            </w:r>
            <w:r w:rsidRPr="001F7534">
              <w:rPr>
                <w:sz w:val="18"/>
                <w:szCs w:val="18"/>
              </w:rPr>
              <w:t>ill be required to be labelled as ‘genetically modified’ if it contains novel DNA or novel protein</w:t>
            </w:r>
            <w:r>
              <w:rPr>
                <w:sz w:val="18"/>
                <w:szCs w:val="18"/>
              </w:rPr>
              <w:t>, as outlined and discussed in</w:t>
            </w:r>
            <w:r w:rsidRPr="00C11436" w:rsidDel="00C264D9">
              <w:rPr>
                <w:sz w:val="18"/>
                <w:szCs w:val="18"/>
              </w:rPr>
              <w:t xml:space="preserve"> </w:t>
            </w:r>
            <w:r>
              <w:rPr>
                <w:sz w:val="18"/>
                <w:szCs w:val="18"/>
              </w:rPr>
              <w:t>S</w:t>
            </w:r>
            <w:r w:rsidRPr="001F7534">
              <w:rPr>
                <w:sz w:val="18"/>
                <w:szCs w:val="18"/>
              </w:rPr>
              <w:t xml:space="preserve">ection </w:t>
            </w:r>
            <w:r>
              <w:rPr>
                <w:sz w:val="18"/>
                <w:szCs w:val="18"/>
              </w:rPr>
              <w:t>2.3.1</w:t>
            </w:r>
            <w:r w:rsidRPr="001F7534">
              <w:rPr>
                <w:sz w:val="18"/>
                <w:szCs w:val="18"/>
              </w:rPr>
              <w:t xml:space="preserve"> of this Report.</w:t>
            </w:r>
          </w:p>
          <w:p w14:paraId="33267A8F" w14:textId="59C8256B" w:rsidR="00F155CF" w:rsidRPr="00D40A92" w:rsidRDefault="00F155CF" w:rsidP="00F155CF">
            <w:pPr>
              <w:autoSpaceDE w:val="0"/>
              <w:autoSpaceDN w:val="0"/>
              <w:adjustRightInd w:val="0"/>
              <w:spacing w:after="240"/>
              <w:rPr>
                <w:sz w:val="18"/>
                <w:szCs w:val="18"/>
              </w:rPr>
            </w:pPr>
            <w:r>
              <w:rPr>
                <w:sz w:val="18"/>
                <w:szCs w:val="18"/>
              </w:rPr>
              <w:t xml:space="preserve">Further information about GM food labelling can be found on the </w:t>
            </w:r>
            <w:hyperlink r:id="rId14" w:history="1">
              <w:r w:rsidRPr="00347F28">
                <w:rPr>
                  <w:rStyle w:val="Hyperlink"/>
                  <w:sz w:val="18"/>
                  <w:szCs w:val="18"/>
                </w:rPr>
                <w:t>FSANZ website</w:t>
              </w:r>
            </w:hyperlink>
            <w:r>
              <w:rPr>
                <w:rStyle w:val="FootnoteReference"/>
                <w:sz w:val="18"/>
                <w:szCs w:val="18"/>
              </w:rPr>
              <w:footnoteReference w:id="6"/>
            </w:r>
            <w:r>
              <w:rPr>
                <w:sz w:val="18"/>
                <w:szCs w:val="18"/>
              </w:rPr>
              <w:t>.</w:t>
            </w:r>
          </w:p>
        </w:tc>
      </w:tr>
      <w:tr w:rsidR="00F155CF" w:rsidRPr="00C655BA" w14:paraId="60461DA2" w14:textId="77777777" w:rsidTr="00D40A92">
        <w:tc>
          <w:tcPr>
            <w:tcW w:w="3256" w:type="dxa"/>
            <w:shd w:val="clear" w:color="auto" w:fill="auto"/>
          </w:tcPr>
          <w:p w14:paraId="21D2EA31" w14:textId="18719E07" w:rsidR="00F155CF" w:rsidRPr="00C370DC" w:rsidRDefault="00F155CF" w:rsidP="00F155CF">
            <w:pPr>
              <w:spacing w:after="240"/>
              <w:rPr>
                <w:sz w:val="18"/>
                <w:szCs w:val="18"/>
              </w:rPr>
            </w:pPr>
            <w:r>
              <w:rPr>
                <w:sz w:val="18"/>
                <w:szCs w:val="18"/>
              </w:rPr>
              <w:t>Concerns regarding the safety of dsRNA (surviving digestion and present in circulation), RNAi and off-target unintended effects</w:t>
            </w:r>
          </w:p>
        </w:tc>
        <w:tc>
          <w:tcPr>
            <w:tcW w:w="1842" w:type="dxa"/>
            <w:shd w:val="clear" w:color="auto" w:fill="auto"/>
          </w:tcPr>
          <w:p w14:paraId="336F0DF4" w14:textId="0170FE18" w:rsidR="00F155CF" w:rsidRPr="0090418C" w:rsidRDefault="00F155CF" w:rsidP="00F155CF">
            <w:pPr>
              <w:spacing w:after="240"/>
              <w:rPr>
                <w:sz w:val="18"/>
                <w:szCs w:val="18"/>
              </w:rPr>
            </w:pPr>
            <w:r>
              <w:rPr>
                <w:sz w:val="18"/>
                <w:szCs w:val="18"/>
              </w:rPr>
              <w:t xml:space="preserve">Joint submission; </w:t>
            </w:r>
            <w:r w:rsidR="00D34A47">
              <w:rPr>
                <w:sz w:val="18"/>
                <w:szCs w:val="18"/>
              </w:rPr>
              <w:t>Private submitter (JW)</w:t>
            </w:r>
            <w:r>
              <w:rPr>
                <w:sz w:val="18"/>
                <w:szCs w:val="18"/>
              </w:rPr>
              <w:t xml:space="preserve">; </w:t>
            </w:r>
            <w:r w:rsidRPr="00D34A47">
              <w:rPr>
                <w:i/>
                <w:sz w:val="18"/>
                <w:szCs w:val="18"/>
              </w:rPr>
              <w:t>Late Comment</w:t>
            </w:r>
            <w:r w:rsidRPr="008E426F">
              <w:rPr>
                <w:i/>
                <w:sz w:val="18"/>
                <w:szCs w:val="18"/>
              </w:rPr>
              <w:t xml:space="preserve"> (SACA)</w:t>
            </w:r>
          </w:p>
        </w:tc>
        <w:tc>
          <w:tcPr>
            <w:tcW w:w="8931" w:type="dxa"/>
            <w:shd w:val="clear" w:color="auto" w:fill="auto"/>
          </w:tcPr>
          <w:p w14:paraId="1C1B1A10" w14:textId="1DB8A701" w:rsidR="007238AD" w:rsidRDefault="007238AD" w:rsidP="00D66AF5">
            <w:pPr>
              <w:pStyle w:val="ListParagraph"/>
              <w:autoSpaceDE w:val="0"/>
              <w:autoSpaceDN w:val="0"/>
              <w:adjustRightInd w:val="0"/>
              <w:spacing w:after="240"/>
              <w:ind w:left="176" w:hanging="176"/>
              <w:rPr>
                <w:rFonts w:cs="Arial"/>
                <w:sz w:val="18"/>
                <w:szCs w:val="18"/>
              </w:rPr>
            </w:pPr>
            <w:r w:rsidRPr="007238AD">
              <w:rPr>
                <w:rFonts w:cs="Arial"/>
                <w:sz w:val="18"/>
                <w:szCs w:val="18"/>
              </w:rPr>
              <w:t xml:space="preserve">The available data do not indicate </w:t>
            </w:r>
            <w:r>
              <w:rPr>
                <w:rFonts w:cs="Arial"/>
                <w:sz w:val="18"/>
                <w:szCs w:val="18"/>
              </w:rPr>
              <w:t>the</w:t>
            </w:r>
            <w:r w:rsidRPr="007238AD">
              <w:rPr>
                <w:rFonts w:cs="Arial"/>
                <w:sz w:val="18"/>
                <w:szCs w:val="18"/>
              </w:rPr>
              <w:t xml:space="preserve"> dsRNAs </w:t>
            </w:r>
            <w:r>
              <w:rPr>
                <w:rFonts w:cs="Arial"/>
                <w:sz w:val="18"/>
                <w:szCs w:val="18"/>
              </w:rPr>
              <w:t xml:space="preserve">present in V11 and Z6 </w:t>
            </w:r>
            <w:r w:rsidRPr="007238AD">
              <w:rPr>
                <w:rFonts w:cs="Arial"/>
                <w:sz w:val="18"/>
                <w:szCs w:val="18"/>
              </w:rPr>
              <w:t xml:space="preserve">possess different characteristics, or are likely to pose a greater risk, than other RNAi mediators naturally present in potato. </w:t>
            </w:r>
            <w:r>
              <w:rPr>
                <w:rFonts w:cs="Arial"/>
                <w:sz w:val="18"/>
                <w:szCs w:val="18"/>
              </w:rPr>
              <w:t xml:space="preserve">This includes any off-target effects. </w:t>
            </w:r>
            <w:r w:rsidRPr="007238AD">
              <w:rPr>
                <w:rFonts w:cs="Arial"/>
                <w:sz w:val="18"/>
                <w:szCs w:val="18"/>
              </w:rPr>
              <w:t>RNAi mediators</w:t>
            </w:r>
            <w:r>
              <w:rPr>
                <w:rFonts w:cs="Arial"/>
                <w:sz w:val="18"/>
                <w:szCs w:val="18"/>
              </w:rPr>
              <w:t>, even those with homology to human genes,</w:t>
            </w:r>
            <w:r w:rsidRPr="007238AD">
              <w:rPr>
                <w:rFonts w:cs="Arial"/>
                <w:sz w:val="18"/>
                <w:szCs w:val="18"/>
              </w:rPr>
              <w:t xml:space="preserve"> </w:t>
            </w:r>
            <w:r>
              <w:rPr>
                <w:rFonts w:cs="Arial"/>
                <w:sz w:val="18"/>
                <w:szCs w:val="18"/>
              </w:rPr>
              <w:t>have a</w:t>
            </w:r>
            <w:r w:rsidRPr="007238AD">
              <w:rPr>
                <w:rFonts w:cs="Arial"/>
                <w:sz w:val="18"/>
                <w:szCs w:val="18"/>
              </w:rPr>
              <w:t xml:space="preserve"> history of safe human consumption</w:t>
            </w:r>
            <w:r>
              <w:rPr>
                <w:rFonts w:cs="Arial"/>
                <w:sz w:val="18"/>
                <w:szCs w:val="18"/>
              </w:rPr>
              <w:t>.</w:t>
            </w:r>
            <w:r w:rsidR="00D66AF5">
              <w:rPr>
                <w:rFonts w:cs="Arial"/>
                <w:sz w:val="18"/>
                <w:szCs w:val="18"/>
              </w:rPr>
              <w:t xml:space="preserve"> </w:t>
            </w:r>
            <w:r w:rsidRPr="007238AD">
              <w:rPr>
                <w:rFonts w:cs="Arial"/>
                <w:sz w:val="18"/>
                <w:szCs w:val="18"/>
              </w:rPr>
              <w:t>The evidence published to date also does not indicate that dietary uptake of such RNA from plant food is a widespread phenomenon in vertebrates (including humans) or, if it occurs, that sufficient quantities are taken up to exert a biologically relevant effect (FSANZ, 2013).</w:t>
            </w:r>
          </w:p>
          <w:p w14:paraId="4FEB9326" w14:textId="1F9DD341" w:rsidR="00D66AF5" w:rsidRDefault="00D66AF5" w:rsidP="00D66AF5">
            <w:pPr>
              <w:pStyle w:val="ListParagraph"/>
              <w:autoSpaceDE w:val="0"/>
              <w:autoSpaceDN w:val="0"/>
              <w:adjustRightInd w:val="0"/>
              <w:spacing w:after="240"/>
              <w:ind w:left="176" w:hanging="176"/>
              <w:rPr>
                <w:rFonts w:cs="Arial"/>
                <w:sz w:val="18"/>
                <w:szCs w:val="18"/>
              </w:rPr>
            </w:pPr>
          </w:p>
          <w:p w14:paraId="46770D4D" w14:textId="349EE307" w:rsidR="00F155CF" w:rsidRPr="00C26F53" w:rsidRDefault="007F6CA3" w:rsidP="00C26F53">
            <w:pPr>
              <w:pStyle w:val="ListParagraph"/>
              <w:autoSpaceDE w:val="0"/>
              <w:autoSpaceDN w:val="0"/>
              <w:adjustRightInd w:val="0"/>
              <w:spacing w:after="240"/>
              <w:ind w:left="176" w:hanging="176"/>
              <w:rPr>
                <w:sz w:val="18"/>
                <w:szCs w:val="18"/>
              </w:rPr>
            </w:pPr>
            <w:r>
              <w:rPr>
                <w:sz w:val="18"/>
                <w:szCs w:val="18"/>
              </w:rPr>
              <w:t>The studies cited</w:t>
            </w:r>
            <w:r w:rsidR="00FB0342">
              <w:rPr>
                <w:sz w:val="18"/>
                <w:szCs w:val="18"/>
              </w:rPr>
              <w:t xml:space="preserve"> in the joint submission</w:t>
            </w:r>
            <w:r>
              <w:rPr>
                <w:sz w:val="18"/>
                <w:szCs w:val="18"/>
              </w:rPr>
              <w:t xml:space="preserve"> are not specific to GM crops and</w:t>
            </w:r>
            <w:r w:rsidR="00086E97">
              <w:rPr>
                <w:sz w:val="18"/>
                <w:szCs w:val="18"/>
              </w:rPr>
              <w:t>, in FSANZ’s view,</w:t>
            </w:r>
            <w:r>
              <w:rPr>
                <w:sz w:val="18"/>
                <w:szCs w:val="18"/>
              </w:rPr>
              <w:t xml:space="preserve"> do not support the view that small RNAs in GM food are likely to have adverse consequences for humans. </w:t>
            </w:r>
            <w:r w:rsidRPr="00D27AED">
              <w:rPr>
                <w:sz w:val="18"/>
                <w:szCs w:val="18"/>
              </w:rPr>
              <w:t>An anal</w:t>
            </w:r>
            <w:r>
              <w:rPr>
                <w:sz w:val="18"/>
                <w:szCs w:val="18"/>
              </w:rPr>
              <w:t xml:space="preserve">ysis of the scientific shortcomings of some commonly cited studies by </w:t>
            </w:r>
            <w:r w:rsidR="00FB0342">
              <w:rPr>
                <w:sz w:val="18"/>
                <w:szCs w:val="18"/>
              </w:rPr>
              <w:t xml:space="preserve">submitters who have concerns about small </w:t>
            </w:r>
            <w:r>
              <w:rPr>
                <w:sz w:val="18"/>
                <w:szCs w:val="18"/>
              </w:rPr>
              <w:t>RNA</w:t>
            </w:r>
            <w:r w:rsidR="00FB0342">
              <w:rPr>
                <w:sz w:val="18"/>
                <w:szCs w:val="18"/>
              </w:rPr>
              <w:t>s</w:t>
            </w:r>
            <w:r>
              <w:rPr>
                <w:sz w:val="18"/>
                <w:szCs w:val="18"/>
              </w:rPr>
              <w:t xml:space="preserve"> can be found on the </w:t>
            </w:r>
            <w:hyperlink r:id="rId15" w:history="1">
              <w:r w:rsidRPr="00FB0342">
                <w:rPr>
                  <w:rStyle w:val="Hyperlink"/>
                  <w:sz w:val="18"/>
                  <w:szCs w:val="18"/>
                </w:rPr>
                <w:t>FSANZ website</w:t>
              </w:r>
            </w:hyperlink>
            <w:r w:rsidR="00FB0342">
              <w:rPr>
                <w:rStyle w:val="FootnoteReference"/>
                <w:sz w:val="18"/>
                <w:szCs w:val="18"/>
              </w:rPr>
              <w:footnoteReference w:id="7"/>
            </w:r>
            <w:r>
              <w:rPr>
                <w:sz w:val="18"/>
                <w:szCs w:val="18"/>
              </w:rPr>
              <w:t>.</w:t>
            </w:r>
          </w:p>
        </w:tc>
      </w:tr>
      <w:tr w:rsidR="00F155CF" w:rsidRPr="00C655BA" w14:paraId="60F8583E" w14:textId="77777777" w:rsidTr="00D40A92">
        <w:tc>
          <w:tcPr>
            <w:tcW w:w="3256" w:type="dxa"/>
            <w:shd w:val="clear" w:color="auto" w:fill="auto"/>
          </w:tcPr>
          <w:p w14:paraId="044CC8F8" w14:textId="7F9D0211" w:rsidR="00F155CF" w:rsidRDefault="00F155CF" w:rsidP="00666FFE">
            <w:pPr>
              <w:spacing w:after="240"/>
              <w:rPr>
                <w:sz w:val="18"/>
                <w:szCs w:val="18"/>
              </w:rPr>
            </w:pPr>
            <w:r>
              <w:rPr>
                <w:sz w:val="18"/>
                <w:szCs w:val="18"/>
              </w:rPr>
              <w:t xml:space="preserve">FSANZ should require the applicant to produce a full analysis of all potential ORFs and increase </w:t>
            </w:r>
            <w:r w:rsidR="00666FFE">
              <w:rPr>
                <w:sz w:val="18"/>
                <w:szCs w:val="18"/>
              </w:rPr>
              <w:t>the stringency of this analysis</w:t>
            </w:r>
            <w:r w:rsidR="00E2518E">
              <w:rPr>
                <w:sz w:val="18"/>
                <w:szCs w:val="18"/>
              </w:rPr>
              <w:t xml:space="preserve"> e.g. moving from 8 to 6 amino acids</w:t>
            </w:r>
            <w:r w:rsidR="00744BA7">
              <w:rPr>
                <w:sz w:val="18"/>
                <w:szCs w:val="18"/>
              </w:rPr>
              <w:t>.</w:t>
            </w:r>
          </w:p>
        </w:tc>
        <w:tc>
          <w:tcPr>
            <w:tcW w:w="1842" w:type="dxa"/>
            <w:shd w:val="clear" w:color="auto" w:fill="auto"/>
          </w:tcPr>
          <w:p w14:paraId="10C6887F" w14:textId="01C9C39C" w:rsidR="00F155CF" w:rsidRPr="0090418C" w:rsidRDefault="00F155CF" w:rsidP="00F155CF">
            <w:pPr>
              <w:spacing w:after="240"/>
              <w:rPr>
                <w:sz w:val="18"/>
                <w:szCs w:val="18"/>
              </w:rPr>
            </w:pPr>
            <w:r>
              <w:rPr>
                <w:sz w:val="18"/>
                <w:szCs w:val="18"/>
              </w:rPr>
              <w:t>Joint submission</w:t>
            </w:r>
          </w:p>
        </w:tc>
        <w:tc>
          <w:tcPr>
            <w:tcW w:w="8931" w:type="dxa"/>
            <w:shd w:val="clear" w:color="auto" w:fill="auto"/>
          </w:tcPr>
          <w:p w14:paraId="12A62803" w14:textId="7E275D0B" w:rsidR="00666FFE" w:rsidRDefault="00666FFE" w:rsidP="00F155CF">
            <w:pPr>
              <w:pStyle w:val="ListParagraph"/>
              <w:autoSpaceDE w:val="0"/>
              <w:autoSpaceDN w:val="0"/>
              <w:adjustRightInd w:val="0"/>
              <w:spacing w:after="240"/>
              <w:ind w:left="176" w:hanging="176"/>
              <w:rPr>
                <w:sz w:val="18"/>
                <w:szCs w:val="18"/>
              </w:rPr>
            </w:pPr>
            <w:r w:rsidRPr="007D5E6D">
              <w:rPr>
                <w:sz w:val="18"/>
                <w:szCs w:val="18"/>
              </w:rPr>
              <w:t>The applicant provided an open reading frame (ORF) analysis that identified all start-to-stop ORF in both the inserted DNA and junctio</w:t>
            </w:r>
            <w:r w:rsidR="00505A3B">
              <w:rPr>
                <w:sz w:val="18"/>
                <w:szCs w:val="18"/>
              </w:rPr>
              <w:t>ns between the insert and genomic</w:t>
            </w:r>
            <w:r w:rsidRPr="007D5E6D">
              <w:rPr>
                <w:sz w:val="18"/>
                <w:szCs w:val="18"/>
              </w:rPr>
              <w:t xml:space="preserve"> DNA. The analysis </w:t>
            </w:r>
            <w:r w:rsidR="00505A3B">
              <w:rPr>
                <w:sz w:val="18"/>
                <w:szCs w:val="18"/>
              </w:rPr>
              <w:t>is in-line with</w:t>
            </w:r>
            <w:r w:rsidRPr="007D5E6D">
              <w:rPr>
                <w:sz w:val="18"/>
                <w:szCs w:val="18"/>
              </w:rPr>
              <w:t xml:space="preserve"> the internationally accepted </w:t>
            </w:r>
            <w:r w:rsidR="003B6727">
              <w:rPr>
                <w:sz w:val="18"/>
                <w:szCs w:val="18"/>
              </w:rPr>
              <w:t>guidelines</w:t>
            </w:r>
            <w:r w:rsidRPr="007D5E6D">
              <w:rPr>
                <w:sz w:val="18"/>
                <w:szCs w:val="18"/>
              </w:rPr>
              <w:t xml:space="preserve"> of</w:t>
            </w:r>
            <w:r w:rsidR="007D5E6D">
              <w:rPr>
                <w:sz w:val="18"/>
                <w:szCs w:val="18"/>
              </w:rPr>
              <w:t xml:space="preserve"> the</w:t>
            </w:r>
            <w:r w:rsidRPr="007D5E6D">
              <w:rPr>
                <w:sz w:val="18"/>
                <w:szCs w:val="18"/>
              </w:rPr>
              <w:t xml:space="preserve"> </w:t>
            </w:r>
            <w:r w:rsidR="007D5E6D" w:rsidRPr="00992138">
              <w:rPr>
                <w:rFonts w:cs="Arial"/>
                <w:color w:val="000000" w:themeColor="text1"/>
                <w:sz w:val="18"/>
                <w:szCs w:val="18"/>
              </w:rPr>
              <w:t>Codex Alimentarius Commis</w:t>
            </w:r>
            <w:r w:rsidR="007D5E6D">
              <w:rPr>
                <w:rFonts w:cs="Arial"/>
                <w:color w:val="000000" w:themeColor="text1"/>
                <w:sz w:val="18"/>
                <w:szCs w:val="18"/>
              </w:rPr>
              <w:t xml:space="preserve">sion (Codex </w:t>
            </w:r>
            <w:r w:rsidRPr="007D5E6D">
              <w:rPr>
                <w:sz w:val="18"/>
                <w:szCs w:val="18"/>
              </w:rPr>
              <w:t>2009</w:t>
            </w:r>
            <w:r w:rsidR="00AB0796">
              <w:rPr>
                <w:sz w:val="18"/>
                <w:szCs w:val="18"/>
              </w:rPr>
              <w:t>a) and did not raise any allergenicity or toxicity concerns.</w:t>
            </w:r>
          </w:p>
          <w:p w14:paraId="02908CE9" w14:textId="44DC4914" w:rsidR="007D5E6D" w:rsidRDefault="007D5E6D" w:rsidP="00F155CF">
            <w:pPr>
              <w:pStyle w:val="ListParagraph"/>
              <w:autoSpaceDE w:val="0"/>
              <w:autoSpaceDN w:val="0"/>
              <w:adjustRightInd w:val="0"/>
              <w:spacing w:after="240"/>
              <w:ind w:left="176" w:hanging="176"/>
              <w:rPr>
                <w:sz w:val="18"/>
                <w:szCs w:val="18"/>
              </w:rPr>
            </w:pPr>
          </w:p>
          <w:p w14:paraId="2B6F1EAB" w14:textId="5DA33C3A" w:rsidR="003B6727" w:rsidRPr="001632C2" w:rsidRDefault="00086E97" w:rsidP="00086E97">
            <w:pPr>
              <w:pStyle w:val="ListParagraph"/>
              <w:autoSpaceDE w:val="0"/>
              <w:autoSpaceDN w:val="0"/>
              <w:adjustRightInd w:val="0"/>
              <w:spacing w:after="240"/>
              <w:ind w:left="176" w:hanging="176"/>
              <w:rPr>
                <w:sz w:val="18"/>
                <w:szCs w:val="18"/>
              </w:rPr>
            </w:pPr>
            <w:r>
              <w:rPr>
                <w:sz w:val="18"/>
                <w:szCs w:val="18"/>
              </w:rPr>
              <w:t>FSANZ considers that</w:t>
            </w:r>
            <w:r w:rsidRPr="00704E67" w:rsidDel="00086E97">
              <w:rPr>
                <w:sz w:val="18"/>
                <w:szCs w:val="18"/>
              </w:rPr>
              <w:t xml:space="preserve"> </w:t>
            </w:r>
            <w:r>
              <w:rPr>
                <w:sz w:val="18"/>
                <w:szCs w:val="18"/>
              </w:rPr>
              <w:t>c</w:t>
            </w:r>
            <w:r w:rsidR="00704E67" w:rsidRPr="00704E67">
              <w:rPr>
                <w:sz w:val="18"/>
                <w:szCs w:val="18"/>
              </w:rPr>
              <w:t xml:space="preserve">ompared to the &gt;35% identity over 80 amino acid </w:t>
            </w:r>
            <w:r w:rsidR="00704E67">
              <w:rPr>
                <w:sz w:val="18"/>
                <w:szCs w:val="18"/>
              </w:rPr>
              <w:t>minimum requirement (Codex 2009a)</w:t>
            </w:r>
            <w:r w:rsidR="00704E67" w:rsidRPr="00704E67">
              <w:rPr>
                <w:sz w:val="18"/>
                <w:szCs w:val="18"/>
              </w:rPr>
              <w:t>,</w:t>
            </w:r>
            <w:r w:rsidR="00704E67">
              <w:rPr>
                <w:sz w:val="18"/>
                <w:szCs w:val="18"/>
              </w:rPr>
              <w:t xml:space="preserve"> t</w:t>
            </w:r>
            <w:r w:rsidR="00A27FEE">
              <w:rPr>
                <w:sz w:val="18"/>
                <w:szCs w:val="18"/>
              </w:rPr>
              <w:t>he</w:t>
            </w:r>
            <w:r w:rsidR="00704E67">
              <w:rPr>
                <w:sz w:val="18"/>
                <w:szCs w:val="18"/>
              </w:rPr>
              <w:t xml:space="preserve">re appears to be little additional value in identifying a protein’s potential allergenicity using the </w:t>
            </w:r>
            <w:r w:rsidR="00A27FEE">
              <w:rPr>
                <w:sz w:val="18"/>
                <w:szCs w:val="18"/>
              </w:rPr>
              <w:t>8 amino acid segment identity or m</w:t>
            </w:r>
            <w:r w:rsidR="007D5E6D">
              <w:rPr>
                <w:sz w:val="18"/>
                <w:szCs w:val="18"/>
              </w:rPr>
              <w:t>oving from 8 to 6 amino acid</w:t>
            </w:r>
            <w:r w:rsidR="00A27FEE">
              <w:rPr>
                <w:sz w:val="18"/>
                <w:szCs w:val="18"/>
              </w:rPr>
              <w:t xml:space="preserve">s. </w:t>
            </w:r>
            <w:r w:rsidR="003B6727">
              <w:rPr>
                <w:sz w:val="18"/>
                <w:szCs w:val="18"/>
              </w:rPr>
              <w:t>FSANZ notes peptide matches of complete identity over 6 contiguous amino acids to known allergens is associated with very poor specificity (many false positives)</w:t>
            </w:r>
            <w:r w:rsidR="007E657B">
              <w:rPr>
                <w:sz w:val="18"/>
                <w:szCs w:val="18"/>
              </w:rPr>
              <w:t xml:space="preserve"> (WHO 2016)</w:t>
            </w:r>
            <w:r w:rsidR="003B6727">
              <w:rPr>
                <w:sz w:val="18"/>
                <w:szCs w:val="18"/>
              </w:rPr>
              <w:t xml:space="preserve">. </w:t>
            </w:r>
          </w:p>
        </w:tc>
      </w:tr>
      <w:tr w:rsidR="00F155CF" w:rsidRPr="00C655BA" w14:paraId="18BFF988" w14:textId="77777777" w:rsidTr="00D40A92">
        <w:tc>
          <w:tcPr>
            <w:tcW w:w="3256" w:type="dxa"/>
            <w:shd w:val="clear" w:color="auto" w:fill="auto"/>
          </w:tcPr>
          <w:p w14:paraId="1D9C88AF" w14:textId="77777777" w:rsidR="009076A6" w:rsidRDefault="009076A6" w:rsidP="009076A6">
            <w:pPr>
              <w:spacing w:after="240"/>
              <w:rPr>
                <w:sz w:val="18"/>
                <w:szCs w:val="18"/>
              </w:rPr>
            </w:pPr>
            <w:r>
              <w:rPr>
                <w:sz w:val="18"/>
                <w:szCs w:val="18"/>
              </w:rPr>
              <w:t>Potato lines V11 and Z6 are not equivalent to conventional potatoes (i.e. they are genetically modified, statistically significant amino acid difference) and therefore short and long-term feeding studies using whole potatoes are warranted; these studies should examine the safety of dsRNA and allergenicity</w:t>
            </w:r>
          </w:p>
          <w:p w14:paraId="325E1F5C" w14:textId="37E70A5A" w:rsidR="00527065" w:rsidRDefault="00527065" w:rsidP="009076A6">
            <w:pPr>
              <w:spacing w:after="240"/>
              <w:rPr>
                <w:sz w:val="18"/>
                <w:szCs w:val="18"/>
              </w:rPr>
            </w:pPr>
          </w:p>
        </w:tc>
        <w:tc>
          <w:tcPr>
            <w:tcW w:w="1842" w:type="dxa"/>
            <w:shd w:val="clear" w:color="auto" w:fill="auto"/>
          </w:tcPr>
          <w:p w14:paraId="5FE5E848" w14:textId="59516A42" w:rsidR="009076A6" w:rsidRDefault="00F155CF" w:rsidP="00F155CF">
            <w:pPr>
              <w:spacing w:after="240"/>
              <w:rPr>
                <w:sz w:val="18"/>
                <w:szCs w:val="18"/>
              </w:rPr>
            </w:pPr>
            <w:r>
              <w:rPr>
                <w:sz w:val="18"/>
                <w:szCs w:val="18"/>
              </w:rPr>
              <w:t xml:space="preserve">Joint submission; </w:t>
            </w:r>
            <w:r w:rsidR="00D34A47">
              <w:rPr>
                <w:sz w:val="18"/>
                <w:szCs w:val="18"/>
              </w:rPr>
              <w:t>Private submitters (CB, JW)</w:t>
            </w:r>
            <w:r w:rsidR="00FB0342">
              <w:rPr>
                <w:sz w:val="18"/>
                <w:szCs w:val="18"/>
              </w:rPr>
              <w:t xml:space="preserve">; </w:t>
            </w:r>
            <w:r w:rsidR="00FB0342" w:rsidRPr="00696324">
              <w:rPr>
                <w:i/>
                <w:sz w:val="18"/>
                <w:szCs w:val="18"/>
              </w:rPr>
              <w:t>Late comment (SACA)</w:t>
            </w:r>
          </w:p>
          <w:p w14:paraId="2BEB0543" w14:textId="77777777" w:rsidR="009076A6" w:rsidRPr="009076A6" w:rsidRDefault="009076A6" w:rsidP="009076A6">
            <w:pPr>
              <w:rPr>
                <w:sz w:val="18"/>
                <w:szCs w:val="18"/>
              </w:rPr>
            </w:pPr>
          </w:p>
          <w:p w14:paraId="0C8C4FE7" w14:textId="77777777" w:rsidR="009076A6" w:rsidRPr="009076A6" w:rsidRDefault="009076A6" w:rsidP="009076A6">
            <w:pPr>
              <w:rPr>
                <w:sz w:val="18"/>
                <w:szCs w:val="18"/>
              </w:rPr>
            </w:pPr>
          </w:p>
          <w:p w14:paraId="626DACC2" w14:textId="77777777" w:rsidR="009076A6" w:rsidRPr="009076A6" w:rsidRDefault="009076A6" w:rsidP="009076A6">
            <w:pPr>
              <w:rPr>
                <w:sz w:val="18"/>
                <w:szCs w:val="18"/>
              </w:rPr>
            </w:pPr>
          </w:p>
          <w:p w14:paraId="5B38BEF9" w14:textId="78081F5D" w:rsidR="00F155CF" w:rsidRPr="009076A6" w:rsidRDefault="00F155CF" w:rsidP="009076A6">
            <w:pPr>
              <w:jc w:val="center"/>
              <w:rPr>
                <w:sz w:val="18"/>
                <w:szCs w:val="18"/>
              </w:rPr>
            </w:pPr>
          </w:p>
        </w:tc>
        <w:tc>
          <w:tcPr>
            <w:tcW w:w="8931" w:type="dxa"/>
            <w:shd w:val="clear" w:color="auto" w:fill="auto"/>
          </w:tcPr>
          <w:p w14:paraId="6526185A" w14:textId="3E7F5B9E" w:rsidR="009076A6" w:rsidRDefault="009076A6" w:rsidP="005C45DB">
            <w:pPr>
              <w:pStyle w:val="ListParagraph"/>
              <w:autoSpaceDE w:val="0"/>
              <w:autoSpaceDN w:val="0"/>
              <w:adjustRightInd w:val="0"/>
              <w:spacing w:after="240"/>
              <w:ind w:left="176" w:hanging="176"/>
              <w:rPr>
                <w:color w:val="000000" w:themeColor="text1"/>
                <w:sz w:val="18"/>
                <w:szCs w:val="18"/>
              </w:rPr>
            </w:pPr>
            <w:r>
              <w:rPr>
                <w:sz w:val="18"/>
                <w:szCs w:val="18"/>
              </w:rPr>
              <w:t xml:space="preserve">While potato lines V11 and Z6 contain new DNA and traits, the compositional analysis indicates that the </w:t>
            </w:r>
            <w:r w:rsidR="00086E97">
              <w:rPr>
                <w:sz w:val="18"/>
                <w:szCs w:val="18"/>
              </w:rPr>
              <w:t xml:space="preserve">V11 and Z6 </w:t>
            </w:r>
            <w:r>
              <w:rPr>
                <w:sz w:val="18"/>
                <w:szCs w:val="18"/>
              </w:rPr>
              <w:t>tubers are compositionally equivalent to tube</w:t>
            </w:r>
            <w:r w:rsidR="005C45DB">
              <w:rPr>
                <w:sz w:val="18"/>
                <w:szCs w:val="18"/>
              </w:rPr>
              <w:t xml:space="preserve">rs from </w:t>
            </w:r>
            <w:r w:rsidR="00086E97">
              <w:rPr>
                <w:sz w:val="18"/>
                <w:szCs w:val="18"/>
              </w:rPr>
              <w:t xml:space="preserve">non-GM </w:t>
            </w:r>
            <w:r w:rsidR="005C45DB">
              <w:rPr>
                <w:sz w:val="18"/>
                <w:szCs w:val="18"/>
              </w:rPr>
              <w:t xml:space="preserve">varieties. </w:t>
            </w:r>
            <w:r w:rsidR="005C45DB">
              <w:rPr>
                <w:color w:val="000000" w:themeColor="text1"/>
                <w:sz w:val="18"/>
                <w:szCs w:val="18"/>
              </w:rPr>
              <w:t>Although</w:t>
            </w:r>
            <w:r w:rsidR="00527065">
              <w:rPr>
                <w:color w:val="000000" w:themeColor="text1"/>
                <w:sz w:val="18"/>
                <w:szCs w:val="18"/>
              </w:rPr>
              <w:t xml:space="preserve"> some statistically significant differences exist between the </w:t>
            </w:r>
            <w:r w:rsidR="00086E97">
              <w:rPr>
                <w:sz w:val="18"/>
                <w:szCs w:val="18"/>
              </w:rPr>
              <w:t>V11 and Z6</w:t>
            </w:r>
            <w:r w:rsidR="00527065">
              <w:rPr>
                <w:color w:val="000000" w:themeColor="text1"/>
                <w:sz w:val="18"/>
                <w:szCs w:val="18"/>
              </w:rPr>
              <w:t xml:space="preserve"> potato lines and the non-GM comparator lines</w:t>
            </w:r>
            <w:r w:rsidR="005C45DB">
              <w:rPr>
                <w:color w:val="000000" w:themeColor="text1"/>
                <w:sz w:val="18"/>
                <w:szCs w:val="18"/>
              </w:rPr>
              <w:t xml:space="preserve"> (e.g. amino acids)</w:t>
            </w:r>
            <w:r w:rsidR="00527065">
              <w:rPr>
                <w:color w:val="000000" w:themeColor="text1"/>
                <w:sz w:val="18"/>
                <w:szCs w:val="18"/>
              </w:rPr>
              <w:t xml:space="preserve">, </w:t>
            </w:r>
            <w:r w:rsidR="00086E97">
              <w:rPr>
                <w:color w:val="000000" w:themeColor="text1"/>
                <w:sz w:val="18"/>
                <w:szCs w:val="18"/>
              </w:rPr>
              <w:t xml:space="preserve">FSANZ considers that </w:t>
            </w:r>
            <w:r w:rsidR="00527065">
              <w:rPr>
                <w:color w:val="000000" w:themeColor="text1"/>
                <w:sz w:val="18"/>
                <w:szCs w:val="18"/>
              </w:rPr>
              <w:t>these are small in magnitude and not biologically relevant as the differences are within the range of natural variation that exists for potatoes.</w:t>
            </w:r>
            <w:r w:rsidR="00527065" w:rsidRPr="00E147A3">
              <w:rPr>
                <w:color w:val="000000" w:themeColor="text1"/>
                <w:sz w:val="18"/>
                <w:szCs w:val="18"/>
              </w:rPr>
              <w:t xml:space="preserve"> </w:t>
            </w:r>
          </w:p>
          <w:p w14:paraId="35C2B97E" w14:textId="77777777" w:rsidR="005C45DB" w:rsidRPr="005C45DB" w:rsidRDefault="005C45DB" w:rsidP="005C45DB">
            <w:pPr>
              <w:pStyle w:val="ListParagraph"/>
              <w:autoSpaceDE w:val="0"/>
              <w:autoSpaceDN w:val="0"/>
              <w:adjustRightInd w:val="0"/>
              <w:spacing w:after="240"/>
              <w:ind w:left="176" w:hanging="176"/>
              <w:rPr>
                <w:sz w:val="18"/>
                <w:szCs w:val="18"/>
              </w:rPr>
            </w:pPr>
          </w:p>
          <w:p w14:paraId="120D0686" w14:textId="32B63637" w:rsidR="002F2D8D" w:rsidRPr="009437EC" w:rsidRDefault="009076A6" w:rsidP="00086E97">
            <w:pPr>
              <w:pStyle w:val="ListParagraph"/>
              <w:autoSpaceDE w:val="0"/>
              <w:autoSpaceDN w:val="0"/>
              <w:adjustRightInd w:val="0"/>
              <w:spacing w:after="240"/>
              <w:ind w:left="176" w:hanging="176"/>
              <w:rPr>
                <w:sz w:val="18"/>
                <w:szCs w:val="18"/>
              </w:rPr>
            </w:pPr>
            <w:r>
              <w:rPr>
                <w:sz w:val="18"/>
                <w:szCs w:val="18"/>
              </w:rPr>
              <w:t xml:space="preserve">Most importantly, </w:t>
            </w:r>
            <w:r w:rsidR="00C67DDE">
              <w:rPr>
                <w:sz w:val="18"/>
                <w:szCs w:val="18"/>
              </w:rPr>
              <w:t xml:space="preserve">FSANZ has assessed that </w:t>
            </w:r>
            <w:r>
              <w:rPr>
                <w:sz w:val="18"/>
                <w:szCs w:val="18"/>
              </w:rPr>
              <w:t xml:space="preserve">potato lines V11 and Z6 and </w:t>
            </w:r>
            <w:r w:rsidR="00086E97">
              <w:rPr>
                <w:sz w:val="18"/>
                <w:szCs w:val="18"/>
              </w:rPr>
              <w:t xml:space="preserve">non-GM </w:t>
            </w:r>
            <w:r>
              <w:rPr>
                <w:sz w:val="18"/>
                <w:szCs w:val="18"/>
              </w:rPr>
              <w:t>potatoes are equivalent in so far as there are equally safe for human consumption.</w:t>
            </w:r>
            <w:r w:rsidR="006E5170">
              <w:rPr>
                <w:sz w:val="18"/>
                <w:szCs w:val="18"/>
              </w:rPr>
              <w:t xml:space="preserve"> </w:t>
            </w:r>
            <w:r w:rsidR="00691B55">
              <w:rPr>
                <w:sz w:val="18"/>
                <w:szCs w:val="18"/>
              </w:rPr>
              <w:t>Allergenicity and t</w:t>
            </w:r>
            <w:r w:rsidR="006E5170" w:rsidRPr="006E5170">
              <w:rPr>
                <w:sz w:val="18"/>
                <w:szCs w:val="18"/>
              </w:rPr>
              <w:t xml:space="preserve">he safety of dsRNA </w:t>
            </w:r>
            <w:r w:rsidR="006E5170">
              <w:rPr>
                <w:sz w:val="18"/>
                <w:szCs w:val="18"/>
              </w:rPr>
              <w:t>h</w:t>
            </w:r>
            <w:r w:rsidR="00691B55">
              <w:rPr>
                <w:sz w:val="18"/>
                <w:szCs w:val="18"/>
              </w:rPr>
              <w:t>ave</w:t>
            </w:r>
            <w:r w:rsidR="006E5170" w:rsidRPr="006E5170">
              <w:rPr>
                <w:sz w:val="18"/>
                <w:szCs w:val="18"/>
              </w:rPr>
              <w:t xml:space="preserve"> been addressed in the SD1</w:t>
            </w:r>
            <w:r w:rsidR="00691B55">
              <w:rPr>
                <w:sz w:val="18"/>
                <w:szCs w:val="18"/>
              </w:rPr>
              <w:t>.</w:t>
            </w:r>
            <w:r w:rsidR="002F2D8D">
              <w:rPr>
                <w:rFonts w:cs="Arial"/>
                <w:color w:val="000000" w:themeColor="text1"/>
                <w:sz w:val="18"/>
                <w:szCs w:val="18"/>
              </w:rPr>
              <w:t xml:space="preserve"> FSANZ</w:t>
            </w:r>
            <w:r w:rsidR="00086E97">
              <w:rPr>
                <w:rFonts w:cs="Arial"/>
                <w:color w:val="000000" w:themeColor="text1"/>
                <w:sz w:val="18"/>
                <w:szCs w:val="18"/>
              </w:rPr>
              <w:t>’s</w:t>
            </w:r>
            <w:r w:rsidR="002F2D8D">
              <w:rPr>
                <w:rFonts w:cs="Arial"/>
                <w:color w:val="000000" w:themeColor="text1"/>
                <w:sz w:val="18"/>
                <w:szCs w:val="18"/>
              </w:rPr>
              <w:t xml:space="preserve"> safety assessment did not identify any new or altered hazards as a result of the genetic modification. In the absence of any new or altered hazards, additional studies such as animal or human studies</w:t>
            </w:r>
            <w:r w:rsidR="006E5170">
              <w:rPr>
                <w:rFonts w:cs="Arial"/>
                <w:color w:val="000000" w:themeColor="text1"/>
                <w:sz w:val="18"/>
                <w:szCs w:val="18"/>
              </w:rPr>
              <w:t xml:space="preserve"> of any length are unlikely to contribute </w:t>
            </w:r>
            <w:r w:rsidR="006E5170" w:rsidRPr="009B1322">
              <w:rPr>
                <w:sz w:val="18"/>
                <w:szCs w:val="18"/>
              </w:rPr>
              <w:t>any further useful information to the safety assessment and are not warranted</w:t>
            </w:r>
            <w:r w:rsidR="001632C2">
              <w:rPr>
                <w:sz w:val="18"/>
                <w:szCs w:val="18"/>
              </w:rPr>
              <w:t xml:space="preserve">. More information </w:t>
            </w:r>
            <w:r w:rsidR="00086E97">
              <w:rPr>
                <w:sz w:val="18"/>
                <w:szCs w:val="18"/>
              </w:rPr>
              <w:t xml:space="preserve">about the role of animal feeding studies </w:t>
            </w:r>
            <w:r w:rsidR="001632C2">
              <w:rPr>
                <w:sz w:val="18"/>
                <w:szCs w:val="18"/>
              </w:rPr>
              <w:t xml:space="preserve">can be found on the </w:t>
            </w:r>
            <w:hyperlink r:id="rId16" w:history="1">
              <w:r w:rsidR="001632C2" w:rsidRPr="001632C2">
                <w:rPr>
                  <w:rStyle w:val="Hyperlink"/>
                  <w:sz w:val="18"/>
                  <w:szCs w:val="18"/>
                </w:rPr>
                <w:t>FSANZ website</w:t>
              </w:r>
            </w:hyperlink>
            <w:r w:rsidR="001632C2">
              <w:rPr>
                <w:rStyle w:val="FootnoteReference"/>
                <w:sz w:val="18"/>
                <w:szCs w:val="18"/>
              </w:rPr>
              <w:footnoteReference w:id="8"/>
            </w:r>
            <w:r w:rsidR="009437EC">
              <w:rPr>
                <w:sz w:val="18"/>
                <w:szCs w:val="18"/>
              </w:rPr>
              <w:t>.</w:t>
            </w:r>
          </w:p>
        </w:tc>
      </w:tr>
      <w:tr w:rsidR="00F155CF" w:rsidRPr="00C655BA" w14:paraId="545C38F5" w14:textId="77777777" w:rsidTr="00D40A92">
        <w:tc>
          <w:tcPr>
            <w:tcW w:w="3256" w:type="dxa"/>
            <w:shd w:val="clear" w:color="auto" w:fill="auto"/>
          </w:tcPr>
          <w:p w14:paraId="17D48863" w14:textId="33C9F12C" w:rsidR="00F155CF" w:rsidRDefault="00F155CF" w:rsidP="00F155CF">
            <w:pPr>
              <w:spacing w:after="240"/>
              <w:rPr>
                <w:sz w:val="18"/>
                <w:szCs w:val="18"/>
              </w:rPr>
            </w:pPr>
            <w:r w:rsidRPr="009102C3">
              <w:rPr>
                <w:sz w:val="18"/>
                <w:szCs w:val="18"/>
              </w:rPr>
              <w:t>FSANZ should promote a broad-scale approach to acrylamide reduction in the whole human diet</w:t>
            </w:r>
            <w:r>
              <w:rPr>
                <w:sz w:val="18"/>
                <w:szCs w:val="18"/>
              </w:rPr>
              <w:t xml:space="preserve"> rather than approve potato lines V11 and Z6</w:t>
            </w:r>
          </w:p>
        </w:tc>
        <w:tc>
          <w:tcPr>
            <w:tcW w:w="1842" w:type="dxa"/>
            <w:shd w:val="clear" w:color="auto" w:fill="auto"/>
          </w:tcPr>
          <w:p w14:paraId="4F80F75C" w14:textId="679165EB" w:rsidR="00F155CF" w:rsidRPr="0090418C" w:rsidRDefault="00F155CF" w:rsidP="00F155CF">
            <w:pPr>
              <w:spacing w:after="240"/>
              <w:rPr>
                <w:sz w:val="18"/>
                <w:szCs w:val="18"/>
              </w:rPr>
            </w:pPr>
            <w:r>
              <w:rPr>
                <w:sz w:val="18"/>
                <w:szCs w:val="18"/>
              </w:rPr>
              <w:t>Joint Submission</w:t>
            </w:r>
          </w:p>
        </w:tc>
        <w:tc>
          <w:tcPr>
            <w:tcW w:w="8931" w:type="dxa"/>
            <w:shd w:val="clear" w:color="auto" w:fill="auto"/>
          </w:tcPr>
          <w:p w14:paraId="7C4F2917" w14:textId="5951F0AC" w:rsidR="00F155CF" w:rsidRDefault="00F155CF" w:rsidP="00F155CF">
            <w:pPr>
              <w:pStyle w:val="ListParagraph"/>
              <w:autoSpaceDE w:val="0"/>
              <w:autoSpaceDN w:val="0"/>
              <w:adjustRightInd w:val="0"/>
              <w:spacing w:after="240"/>
              <w:ind w:left="176" w:hanging="176"/>
              <w:rPr>
                <w:sz w:val="18"/>
                <w:szCs w:val="18"/>
              </w:rPr>
            </w:pPr>
            <w:r>
              <w:rPr>
                <w:sz w:val="18"/>
                <w:szCs w:val="18"/>
              </w:rPr>
              <w:t xml:space="preserve">GM potatoes with reduced acrylamide potential, such as potato lines V11 and Z6, are one approach for reducing acrylamide in the human diet. </w:t>
            </w:r>
          </w:p>
          <w:p w14:paraId="7ABD4B79" w14:textId="77777777" w:rsidR="00F155CF" w:rsidRDefault="00F155CF" w:rsidP="00F155CF">
            <w:pPr>
              <w:pStyle w:val="ListParagraph"/>
              <w:autoSpaceDE w:val="0"/>
              <w:autoSpaceDN w:val="0"/>
              <w:adjustRightInd w:val="0"/>
              <w:spacing w:after="240"/>
              <w:ind w:left="176" w:hanging="176"/>
              <w:rPr>
                <w:sz w:val="18"/>
                <w:szCs w:val="18"/>
              </w:rPr>
            </w:pPr>
          </w:p>
          <w:p w14:paraId="219E6382" w14:textId="62A2A162" w:rsidR="00F155CF" w:rsidRPr="00C102FA" w:rsidRDefault="001527DA" w:rsidP="001527DA">
            <w:pPr>
              <w:pStyle w:val="ListParagraph"/>
              <w:autoSpaceDE w:val="0"/>
              <w:autoSpaceDN w:val="0"/>
              <w:adjustRightInd w:val="0"/>
              <w:spacing w:after="240"/>
              <w:ind w:left="176" w:hanging="176"/>
              <w:rPr>
                <w:sz w:val="18"/>
                <w:szCs w:val="18"/>
              </w:rPr>
            </w:pPr>
            <w:r>
              <w:rPr>
                <w:sz w:val="18"/>
                <w:szCs w:val="18"/>
              </w:rPr>
              <w:t>In terms of FSANZ</w:t>
            </w:r>
            <w:r w:rsidR="00086E97">
              <w:rPr>
                <w:sz w:val="18"/>
                <w:szCs w:val="18"/>
              </w:rPr>
              <w:t>’s</w:t>
            </w:r>
            <w:r>
              <w:rPr>
                <w:sz w:val="18"/>
                <w:szCs w:val="18"/>
              </w:rPr>
              <w:t xml:space="preserve"> actions to date in relation to reducing acrylamide in the diet,</w:t>
            </w:r>
            <w:r w:rsidR="00F155CF">
              <w:rPr>
                <w:sz w:val="18"/>
                <w:szCs w:val="18"/>
              </w:rPr>
              <w:t xml:space="preserve"> FSANZ </w:t>
            </w:r>
            <w:r w:rsidR="00C102FA">
              <w:rPr>
                <w:sz w:val="18"/>
                <w:szCs w:val="18"/>
              </w:rPr>
              <w:t>has</w:t>
            </w:r>
            <w:r w:rsidR="00F155CF">
              <w:rPr>
                <w:sz w:val="18"/>
                <w:szCs w:val="18"/>
              </w:rPr>
              <w:t xml:space="preserve"> contributed to a Codex Code of Practice document for the reduction of acrylamide in foods.</w:t>
            </w:r>
            <w:r w:rsidR="00F155CF" w:rsidRPr="00BC1F7B">
              <w:rPr>
                <w:sz w:val="18"/>
                <w:szCs w:val="18"/>
              </w:rPr>
              <w:t xml:space="preserve"> FSANZ also provides advice </w:t>
            </w:r>
            <w:r w:rsidR="00F155CF">
              <w:rPr>
                <w:sz w:val="18"/>
                <w:szCs w:val="18"/>
              </w:rPr>
              <w:t xml:space="preserve">and information </w:t>
            </w:r>
            <w:r w:rsidR="00F155CF" w:rsidRPr="00BC1F7B">
              <w:rPr>
                <w:sz w:val="18"/>
                <w:szCs w:val="18"/>
              </w:rPr>
              <w:t>to consumers about reducing their acrylamide intake</w:t>
            </w:r>
            <w:r w:rsidR="00F155CF">
              <w:rPr>
                <w:sz w:val="18"/>
                <w:szCs w:val="18"/>
              </w:rPr>
              <w:t xml:space="preserve"> on the </w:t>
            </w:r>
            <w:hyperlink r:id="rId17" w:history="1">
              <w:r w:rsidR="00F155CF" w:rsidRPr="00290DD5">
                <w:rPr>
                  <w:rStyle w:val="Hyperlink"/>
                  <w:sz w:val="18"/>
                  <w:szCs w:val="18"/>
                </w:rPr>
                <w:t>FSANZ website</w:t>
              </w:r>
            </w:hyperlink>
            <w:r w:rsidR="00F155CF">
              <w:rPr>
                <w:rStyle w:val="FootnoteReference"/>
                <w:sz w:val="18"/>
                <w:szCs w:val="18"/>
              </w:rPr>
              <w:footnoteReference w:id="9"/>
            </w:r>
            <w:r w:rsidR="00F155CF" w:rsidRPr="00BC1F7B">
              <w:rPr>
                <w:sz w:val="18"/>
                <w:szCs w:val="18"/>
              </w:rPr>
              <w:t>.</w:t>
            </w:r>
            <w:r w:rsidR="00C102FA">
              <w:rPr>
                <w:sz w:val="18"/>
                <w:szCs w:val="18"/>
              </w:rPr>
              <w:t xml:space="preserve"> </w:t>
            </w:r>
            <w:r>
              <w:rPr>
                <w:sz w:val="18"/>
                <w:szCs w:val="18"/>
              </w:rPr>
              <w:t xml:space="preserve">Additional </w:t>
            </w:r>
            <w:r w:rsidR="00C102FA">
              <w:rPr>
                <w:sz w:val="18"/>
                <w:szCs w:val="18"/>
              </w:rPr>
              <w:t xml:space="preserve">information regarding reducing acrylamide exposure in food </w:t>
            </w:r>
            <w:r w:rsidR="00F155CF" w:rsidRPr="00C102FA">
              <w:rPr>
                <w:sz w:val="18"/>
                <w:szCs w:val="18"/>
              </w:rPr>
              <w:t xml:space="preserve">can </w:t>
            </w:r>
            <w:r>
              <w:rPr>
                <w:sz w:val="18"/>
                <w:szCs w:val="18"/>
              </w:rPr>
              <w:t xml:space="preserve">also </w:t>
            </w:r>
            <w:r w:rsidR="00F155CF" w:rsidRPr="00C102FA">
              <w:rPr>
                <w:sz w:val="18"/>
                <w:szCs w:val="18"/>
              </w:rPr>
              <w:t xml:space="preserve">be found </w:t>
            </w:r>
            <w:r>
              <w:rPr>
                <w:sz w:val="18"/>
                <w:szCs w:val="18"/>
              </w:rPr>
              <w:t>on this</w:t>
            </w:r>
            <w:r w:rsidRPr="00C102FA">
              <w:rPr>
                <w:sz w:val="18"/>
                <w:szCs w:val="18"/>
              </w:rPr>
              <w:t xml:space="preserve"> </w:t>
            </w:r>
            <w:hyperlink r:id="rId18" w:history="1">
              <w:r w:rsidR="00F155CF" w:rsidRPr="00C102FA">
                <w:rPr>
                  <w:rStyle w:val="Hyperlink"/>
                  <w:sz w:val="18"/>
                  <w:szCs w:val="18"/>
                </w:rPr>
                <w:t>FSANZ webpage</w:t>
              </w:r>
            </w:hyperlink>
            <w:r w:rsidR="00F155CF">
              <w:rPr>
                <w:rStyle w:val="FootnoteReference"/>
                <w:sz w:val="18"/>
                <w:szCs w:val="18"/>
              </w:rPr>
              <w:footnoteReference w:id="10"/>
            </w:r>
            <w:r w:rsidR="00F155CF" w:rsidRPr="00C102FA">
              <w:rPr>
                <w:sz w:val="18"/>
                <w:szCs w:val="18"/>
              </w:rPr>
              <w:t>.</w:t>
            </w:r>
          </w:p>
        </w:tc>
      </w:tr>
      <w:tr w:rsidR="00F155CF" w:rsidRPr="00C655BA" w14:paraId="643E1B9B" w14:textId="77777777" w:rsidTr="00D40A92">
        <w:tc>
          <w:tcPr>
            <w:tcW w:w="3256" w:type="dxa"/>
            <w:shd w:val="clear" w:color="auto" w:fill="auto"/>
          </w:tcPr>
          <w:p w14:paraId="1F8B4812" w14:textId="134D649C" w:rsidR="00F155CF" w:rsidRDefault="00F155CF" w:rsidP="00F155CF">
            <w:pPr>
              <w:spacing w:after="240"/>
              <w:rPr>
                <w:sz w:val="18"/>
                <w:szCs w:val="18"/>
              </w:rPr>
            </w:pPr>
            <w:r w:rsidRPr="009102C3">
              <w:rPr>
                <w:sz w:val="18"/>
                <w:szCs w:val="18"/>
              </w:rPr>
              <w:t>The compositional analyses fail to disclose precisely what analytes were assessed, or the techniques used.</w:t>
            </w:r>
          </w:p>
        </w:tc>
        <w:tc>
          <w:tcPr>
            <w:tcW w:w="1842" w:type="dxa"/>
            <w:shd w:val="clear" w:color="auto" w:fill="auto"/>
          </w:tcPr>
          <w:p w14:paraId="3D588FAA" w14:textId="01BAF8EA" w:rsidR="00F155CF" w:rsidRPr="0090418C" w:rsidRDefault="00F155CF" w:rsidP="00F155CF">
            <w:pPr>
              <w:spacing w:after="240"/>
              <w:rPr>
                <w:sz w:val="18"/>
                <w:szCs w:val="18"/>
              </w:rPr>
            </w:pPr>
            <w:r>
              <w:rPr>
                <w:sz w:val="18"/>
                <w:szCs w:val="18"/>
              </w:rPr>
              <w:t>Joint submission</w:t>
            </w:r>
          </w:p>
        </w:tc>
        <w:tc>
          <w:tcPr>
            <w:tcW w:w="8931" w:type="dxa"/>
            <w:shd w:val="clear" w:color="auto" w:fill="auto"/>
          </w:tcPr>
          <w:p w14:paraId="098C3E49" w14:textId="4DC0212D" w:rsidR="00F155CF" w:rsidRPr="00B42A1B" w:rsidRDefault="00F155CF" w:rsidP="00C102FA">
            <w:pPr>
              <w:pStyle w:val="ListParagraph"/>
              <w:autoSpaceDE w:val="0"/>
              <w:autoSpaceDN w:val="0"/>
              <w:adjustRightInd w:val="0"/>
              <w:spacing w:after="240"/>
              <w:ind w:left="176" w:hanging="176"/>
              <w:rPr>
                <w:sz w:val="20"/>
                <w:szCs w:val="20"/>
              </w:rPr>
            </w:pPr>
            <w:r w:rsidRPr="007302EB">
              <w:rPr>
                <w:sz w:val="18"/>
                <w:szCs w:val="18"/>
              </w:rPr>
              <w:t>The composition analysis study design and conduct for key components can be found in Section 5 of the SD1. Table 9</w:t>
            </w:r>
            <w:r>
              <w:rPr>
                <w:sz w:val="18"/>
                <w:szCs w:val="18"/>
              </w:rPr>
              <w:t xml:space="preserve"> of the SD1</w:t>
            </w:r>
            <w:r w:rsidRPr="007302EB">
              <w:rPr>
                <w:sz w:val="18"/>
                <w:szCs w:val="18"/>
              </w:rPr>
              <w:t xml:space="preserve"> lists all the analytes measured in the potato samples. Further information on the compositional analyses</w:t>
            </w:r>
            <w:r>
              <w:rPr>
                <w:sz w:val="18"/>
                <w:szCs w:val="18"/>
              </w:rPr>
              <w:t xml:space="preserve"> can be</w:t>
            </w:r>
            <w:r w:rsidRPr="007302EB">
              <w:rPr>
                <w:sz w:val="18"/>
                <w:szCs w:val="18"/>
              </w:rPr>
              <w:t xml:space="preserve"> found in the application document. Information on the specific techniques used to measure analyte levels in potato lines V11 and Z6 can be found in the appendices. These documents are publically available on the</w:t>
            </w:r>
            <w:r>
              <w:rPr>
                <w:rFonts w:cs="Arial"/>
                <w:color w:val="000000" w:themeColor="text1"/>
                <w:sz w:val="18"/>
                <w:szCs w:val="18"/>
              </w:rPr>
              <w:t xml:space="preserve"> </w:t>
            </w:r>
            <w:hyperlink r:id="rId19" w:history="1">
              <w:r w:rsidRPr="0087728B">
                <w:rPr>
                  <w:rStyle w:val="Hyperlink"/>
                  <w:rFonts w:cs="Arial"/>
                  <w:sz w:val="18"/>
                  <w:szCs w:val="18"/>
                </w:rPr>
                <w:t>FSANZ website</w:t>
              </w:r>
            </w:hyperlink>
            <w:r>
              <w:rPr>
                <w:rStyle w:val="FootnoteReference"/>
                <w:rFonts w:cs="Arial"/>
                <w:color w:val="000000" w:themeColor="text1"/>
                <w:sz w:val="18"/>
                <w:szCs w:val="18"/>
              </w:rPr>
              <w:footnoteReference w:id="11"/>
            </w:r>
            <w:r>
              <w:rPr>
                <w:rFonts w:cs="Arial"/>
                <w:color w:val="000000" w:themeColor="text1"/>
                <w:sz w:val="18"/>
                <w:szCs w:val="18"/>
              </w:rPr>
              <w:t>.</w:t>
            </w:r>
          </w:p>
        </w:tc>
      </w:tr>
      <w:tr w:rsidR="00F155CF" w:rsidRPr="00C655BA" w14:paraId="28B8AA09" w14:textId="77777777" w:rsidTr="00D40A92">
        <w:tc>
          <w:tcPr>
            <w:tcW w:w="3256" w:type="dxa"/>
            <w:shd w:val="clear" w:color="auto" w:fill="auto"/>
          </w:tcPr>
          <w:p w14:paraId="3DB60624" w14:textId="13ECC889" w:rsidR="00F155CF" w:rsidRDefault="00F155CF" w:rsidP="00F155CF">
            <w:pPr>
              <w:spacing w:after="240"/>
              <w:rPr>
                <w:sz w:val="18"/>
                <w:szCs w:val="18"/>
              </w:rPr>
            </w:pPr>
            <w:r>
              <w:rPr>
                <w:sz w:val="18"/>
                <w:szCs w:val="18"/>
              </w:rPr>
              <w:t>Two somewhat contradictory statements were made in the CFS document: (1) “the primary aim of this application is to protect international trade”, and (2) “There are no relevant international standards and amending the Code to permit food derived from Innate potato lines V11 and Z6 is unlikely to have a significant effect on international trade”.</w:t>
            </w:r>
          </w:p>
        </w:tc>
        <w:tc>
          <w:tcPr>
            <w:tcW w:w="1842" w:type="dxa"/>
            <w:shd w:val="clear" w:color="auto" w:fill="auto"/>
          </w:tcPr>
          <w:p w14:paraId="0B165E16" w14:textId="1691C00E" w:rsidR="00F155CF" w:rsidRPr="0090418C" w:rsidRDefault="00F155CF" w:rsidP="00F155CF">
            <w:pPr>
              <w:spacing w:after="240"/>
              <w:rPr>
                <w:sz w:val="18"/>
                <w:szCs w:val="18"/>
              </w:rPr>
            </w:pPr>
            <w:r>
              <w:rPr>
                <w:sz w:val="18"/>
                <w:szCs w:val="18"/>
              </w:rPr>
              <w:t>Joint submission</w:t>
            </w:r>
          </w:p>
        </w:tc>
        <w:tc>
          <w:tcPr>
            <w:tcW w:w="8931" w:type="dxa"/>
            <w:shd w:val="clear" w:color="auto" w:fill="auto"/>
          </w:tcPr>
          <w:p w14:paraId="49BD4EBB" w14:textId="77777777" w:rsidR="00010A1B" w:rsidRDefault="00010A1B" w:rsidP="00010A1B">
            <w:pPr>
              <w:pStyle w:val="ListParagraph"/>
              <w:autoSpaceDE w:val="0"/>
              <w:autoSpaceDN w:val="0"/>
              <w:adjustRightInd w:val="0"/>
              <w:spacing w:after="240"/>
              <w:ind w:left="176" w:hanging="176"/>
              <w:rPr>
                <w:sz w:val="18"/>
                <w:szCs w:val="18"/>
              </w:rPr>
            </w:pPr>
            <w:r w:rsidRPr="00010A1B">
              <w:rPr>
                <w:sz w:val="18"/>
                <w:szCs w:val="18"/>
              </w:rPr>
              <w:t>The two statements are not contradictory giv</w:t>
            </w:r>
            <w:r>
              <w:rPr>
                <w:sz w:val="18"/>
                <w:szCs w:val="18"/>
              </w:rPr>
              <w:t>en their different context.</w:t>
            </w:r>
          </w:p>
          <w:p w14:paraId="29525FBD" w14:textId="77777777" w:rsidR="00010A1B" w:rsidRDefault="00010A1B" w:rsidP="00010A1B">
            <w:pPr>
              <w:pStyle w:val="ListParagraph"/>
              <w:autoSpaceDE w:val="0"/>
              <w:autoSpaceDN w:val="0"/>
              <w:adjustRightInd w:val="0"/>
              <w:spacing w:after="240"/>
              <w:ind w:left="176" w:hanging="176"/>
              <w:rPr>
                <w:sz w:val="18"/>
                <w:szCs w:val="18"/>
              </w:rPr>
            </w:pPr>
          </w:p>
          <w:p w14:paraId="7EBAC418" w14:textId="77777777" w:rsidR="00010A1B" w:rsidRDefault="00010A1B" w:rsidP="00010A1B">
            <w:pPr>
              <w:pStyle w:val="ListParagraph"/>
              <w:autoSpaceDE w:val="0"/>
              <w:autoSpaceDN w:val="0"/>
              <w:adjustRightInd w:val="0"/>
              <w:spacing w:after="240"/>
              <w:ind w:left="176" w:hanging="176"/>
              <w:rPr>
                <w:sz w:val="18"/>
                <w:szCs w:val="18"/>
              </w:rPr>
            </w:pPr>
            <w:r w:rsidRPr="00010A1B">
              <w:rPr>
                <w:sz w:val="18"/>
                <w:szCs w:val="18"/>
              </w:rPr>
              <w:t xml:space="preserve">Statement 1 is about consumer food products derived from two specific potatoes lines and their import into Australia and New Zealand. </w:t>
            </w:r>
            <w:r w:rsidRPr="00FE3E26">
              <w:rPr>
                <w:sz w:val="18"/>
                <w:szCs w:val="18"/>
              </w:rPr>
              <w:t xml:space="preserve">The applicant has indicated their intent is currently not to import food derived from potato lines V11 and Z6 </w:t>
            </w:r>
            <w:r>
              <w:rPr>
                <w:sz w:val="18"/>
                <w:szCs w:val="18"/>
              </w:rPr>
              <w:t xml:space="preserve">directly </w:t>
            </w:r>
            <w:r w:rsidRPr="00FE3E26">
              <w:rPr>
                <w:sz w:val="18"/>
                <w:szCs w:val="18"/>
              </w:rPr>
              <w:t>into Australia and New Zealand, but rather to facilitate trade in end consumer products if</w:t>
            </w:r>
            <w:r>
              <w:rPr>
                <w:sz w:val="18"/>
                <w:szCs w:val="18"/>
              </w:rPr>
              <w:t xml:space="preserve"> and when</w:t>
            </w:r>
            <w:r w:rsidRPr="00FE3E26">
              <w:rPr>
                <w:sz w:val="18"/>
                <w:szCs w:val="18"/>
              </w:rPr>
              <w:t xml:space="preserve"> manufacturers </w:t>
            </w:r>
            <w:r>
              <w:rPr>
                <w:sz w:val="18"/>
                <w:szCs w:val="18"/>
              </w:rPr>
              <w:t>choose</w:t>
            </w:r>
            <w:r w:rsidRPr="00FE3E26">
              <w:rPr>
                <w:sz w:val="18"/>
                <w:szCs w:val="18"/>
              </w:rPr>
              <w:t xml:space="preserve"> to import </w:t>
            </w:r>
            <w:r>
              <w:rPr>
                <w:sz w:val="18"/>
                <w:szCs w:val="18"/>
              </w:rPr>
              <w:t>thes</w:t>
            </w:r>
            <w:r w:rsidRPr="00FE3E26">
              <w:rPr>
                <w:sz w:val="18"/>
                <w:szCs w:val="18"/>
              </w:rPr>
              <w:t>e into Australia and New Zealand. The application to permit the sale of food derived from potato lines V11 and Z6 increases the value of the raw materials to third party manufacturers that may wish to establish global supply lines</w:t>
            </w:r>
            <w:r>
              <w:rPr>
                <w:sz w:val="18"/>
                <w:szCs w:val="18"/>
              </w:rPr>
              <w:t>.</w:t>
            </w:r>
          </w:p>
          <w:p w14:paraId="724A3D05" w14:textId="77777777" w:rsidR="00010A1B" w:rsidRDefault="00010A1B" w:rsidP="00010A1B">
            <w:pPr>
              <w:pStyle w:val="ListParagraph"/>
              <w:autoSpaceDE w:val="0"/>
              <w:autoSpaceDN w:val="0"/>
              <w:adjustRightInd w:val="0"/>
              <w:spacing w:after="240"/>
              <w:ind w:left="176" w:hanging="176"/>
              <w:rPr>
                <w:sz w:val="18"/>
                <w:szCs w:val="18"/>
              </w:rPr>
            </w:pPr>
          </w:p>
          <w:p w14:paraId="74241EA6" w14:textId="2BEDFF08" w:rsidR="00010A1B" w:rsidRPr="00010A1B" w:rsidRDefault="00010A1B" w:rsidP="00D76147">
            <w:pPr>
              <w:pStyle w:val="ListParagraph"/>
              <w:autoSpaceDE w:val="0"/>
              <w:autoSpaceDN w:val="0"/>
              <w:adjustRightInd w:val="0"/>
              <w:spacing w:after="240"/>
              <w:ind w:left="176" w:hanging="176"/>
              <w:rPr>
                <w:sz w:val="18"/>
                <w:szCs w:val="18"/>
              </w:rPr>
            </w:pPr>
            <w:r w:rsidRPr="002B39A3">
              <w:rPr>
                <w:sz w:val="18"/>
                <w:szCs w:val="18"/>
              </w:rPr>
              <w:t>Statement 2 is about international trade in food per se</w:t>
            </w:r>
            <w:r>
              <w:rPr>
                <w:sz w:val="18"/>
                <w:szCs w:val="18"/>
              </w:rPr>
              <w:t>.</w:t>
            </w:r>
            <w:r w:rsidRPr="002B39A3">
              <w:rPr>
                <w:sz w:val="18"/>
                <w:szCs w:val="18"/>
              </w:rPr>
              <w:t xml:space="preserve"> FSANZ does not expect that facilitating the international trade </w:t>
            </w:r>
            <w:r>
              <w:rPr>
                <w:sz w:val="18"/>
                <w:szCs w:val="18"/>
              </w:rPr>
              <w:t>in a</w:t>
            </w:r>
            <w:r w:rsidRPr="002B39A3">
              <w:rPr>
                <w:sz w:val="18"/>
                <w:szCs w:val="18"/>
              </w:rPr>
              <w:t xml:space="preserve"> subset of foods </w:t>
            </w:r>
            <w:r w:rsidRPr="00010A1B">
              <w:rPr>
                <w:sz w:val="18"/>
                <w:szCs w:val="18"/>
              </w:rPr>
              <w:t>derived from two specific potatoes lines</w:t>
            </w:r>
            <w:r w:rsidRPr="002B39A3">
              <w:rPr>
                <w:sz w:val="18"/>
                <w:szCs w:val="18"/>
              </w:rPr>
              <w:t xml:space="preserve"> will have a materially significant effect on international trade</w:t>
            </w:r>
            <w:r>
              <w:rPr>
                <w:sz w:val="18"/>
                <w:szCs w:val="18"/>
              </w:rPr>
              <w:t xml:space="preserve"> per se.</w:t>
            </w:r>
            <w:r w:rsidRPr="00010A1B">
              <w:rPr>
                <w:sz w:val="18"/>
                <w:szCs w:val="18"/>
              </w:rPr>
              <w:t xml:space="preserve">  </w:t>
            </w:r>
          </w:p>
        </w:tc>
      </w:tr>
      <w:tr w:rsidR="00F155CF" w:rsidRPr="00C655BA" w14:paraId="27C27488" w14:textId="77777777" w:rsidTr="00D40A92">
        <w:tc>
          <w:tcPr>
            <w:tcW w:w="3256" w:type="dxa"/>
            <w:shd w:val="clear" w:color="auto" w:fill="auto"/>
          </w:tcPr>
          <w:p w14:paraId="5CC404B1" w14:textId="0AC93DD2" w:rsidR="00F155CF" w:rsidRDefault="00F155CF" w:rsidP="00F155CF">
            <w:pPr>
              <w:spacing w:after="240"/>
              <w:rPr>
                <w:sz w:val="18"/>
                <w:szCs w:val="18"/>
              </w:rPr>
            </w:pPr>
            <w:r>
              <w:rPr>
                <w:sz w:val="18"/>
                <w:szCs w:val="18"/>
              </w:rPr>
              <w:t xml:space="preserve">Why approve unlabelled GM potatoes when there are several non-GM lines that do not pose any risk to consumers. </w:t>
            </w:r>
          </w:p>
        </w:tc>
        <w:tc>
          <w:tcPr>
            <w:tcW w:w="1842" w:type="dxa"/>
            <w:shd w:val="clear" w:color="auto" w:fill="auto"/>
          </w:tcPr>
          <w:p w14:paraId="66F4F2B5" w14:textId="41FA9B58" w:rsidR="00F155CF" w:rsidRPr="0090418C" w:rsidRDefault="00F155CF" w:rsidP="00F155CF">
            <w:pPr>
              <w:spacing w:after="240"/>
              <w:rPr>
                <w:sz w:val="18"/>
                <w:szCs w:val="18"/>
              </w:rPr>
            </w:pPr>
            <w:r w:rsidRPr="00696324">
              <w:rPr>
                <w:i/>
                <w:sz w:val="18"/>
                <w:szCs w:val="18"/>
              </w:rPr>
              <w:t>Late comment (SACA)</w:t>
            </w:r>
          </w:p>
        </w:tc>
        <w:tc>
          <w:tcPr>
            <w:tcW w:w="8931" w:type="dxa"/>
            <w:shd w:val="clear" w:color="auto" w:fill="auto"/>
          </w:tcPr>
          <w:p w14:paraId="5E1005FC" w14:textId="16541B03" w:rsidR="00F155CF" w:rsidRPr="00CF2F35" w:rsidRDefault="00F155CF" w:rsidP="005242D7">
            <w:pPr>
              <w:pStyle w:val="ListParagraph"/>
              <w:autoSpaceDE w:val="0"/>
              <w:autoSpaceDN w:val="0"/>
              <w:adjustRightInd w:val="0"/>
              <w:spacing w:after="240"/>
              <w:ind w:left="176" w:hanging="176"/>
              <w:rPr>
                <w:sz w:val="18"/>
                <w:szCs w:val="18"/>
              </w:rPr>
            </w:pPr>
            <w:r w:rsidRPr="00C521FE">
              <w:rPr>
                <w:sz w:val="18"/>
                <w:szCs w:val="18"/>
              </w:rPr>
              <w:t xml:space="preserve">FSANZ’s thorough safety assessment concluded that potato lines V11 and Z6 are as safe and nutritious as comparable </w:t>
            </w:r>
            <w:r w:rsidR="005242D7">
              <w:rPr>
                <w:sz w:val="18"/>
                <w:szCs w:val="18"/>
              </w:rPr>
              <w:t>non-GM</w:t>
            </w:r>
            <w:r w:rsidRPr="00C521FE">
              <w:rPr>
                <w:sz w:val="18"/>
                <w:szCs w:val="18"/>
              </w:rPr>
              <w:t xml:space="preserve"> potatoes already in the Australian and New Zealand food supply. </w:t>
            </w:r>
            <w:r>
              <w:rPr>
                <w:sz w:val="18"/>
                <w:szCs w:val="18"/>
              </w:rPr>
              <w:t>As outlined and discussed in</w:t>
            </w:r>
            <w:r w:rsidRPr="00C11436" w:rsidDel="00C264D9">
              <w:rPr>
                <w:sz w:val="18"/>
                <w:szCs w:val="18"/>
              </w:rPr>
              <w:t xml:space="preserve"> </w:t>
            </w:r>
            <w:r>
              <w:rPr>
                <w:sz w:val="18"/>
                <w:szCs w:val="18"/>
              </w:rPr>
              <w:t>S</w:t>
            </w:r>
            <w:r w:rsidRPr="001F7534">
              <w:rPr>
                <w:sz w:val="18"/>
                <w:szCs w:val="18"/>
              </w:rPr>
              <w:t xml:space="preserve">ection </w:t>
            </w:r>
            <w:r w:rsidR="00744BA7">
              <w:rPr>
                <w:sz w:val="18"/>
                <w:szCs w:val="18"/>
              </w:rPr>
              <w:t>2.3.1 of this r</w:t>
            </w:r>
            <w:r>
              <w:rPr>
                <w:sz w:val="18"/>
                <w:szCs w:val="18"/>
              </w:rPr>
              <w:t xml:space="preserve">eport, food derived from potato lines V11 and Z6 will be required to be labelled if it contains novel DNA or novel protein. </w:t>
            </w:r>
          </w:p>
        </w:tc>
      </w:tr>
      <w:tr w:rsidR="00F155CF" w:rsidRPr="00C655BA" w14:paraId="35DF3EC8" w14:textId="77777777" w:rsidTr="00D40A92">
        <w:tc>
          <w:tcPr>
            <w:tcW w:w="3256" w:type="dxa"/>
            <w:shd w:val="clear" w:color="auto" w:fill="auto"/>
          </w:tcPr>
          <w:p w14:paraId="69FD5308" w14:textId="2D1C67D3" w:rsidR="00F155CF" w:rsidRDefault="00F155CF" w:rsidP="00F155CF">
            <w:pPr>
              <w:spacing w:after="240"/>
              <w:rPr>
                <w:sz w:val="18"/>
                <w:szCs w:val="18"/>
              </w:rPr>
            </w:pPr>
            <w:r>
              <w:rPr>
                <w:sz w:val="18"/>
                <w:szCs w:val="18"/>
              </w:rPr>
              <w:t xml:space="preserve">Data on the efficacy of these potatoes in reducing </w:t>
            </w:r>
            <w:r w:rsidR="00B418B0">
              <w:rPr>
                <w:sz w:val="18"/>
                <w:szCs w:val="18"/>
              </w:rPr>
              <w:t>acrylamide production and block</w:t>
            </w:r>
            <w:r>
              <w:rPr>
                <w:sz w:val="18"/>
                <w:szCs w:val="18"/>
              </w:rPr>
              <w:t>spot are lacking</w:t>
            </w:r>
            <w:r w:rsidR="00B418B0">
              <w:rPr>
                <w:sz w:val="18"/>
                <w:szCs w:val="18"/>
              </w:rPr>
              <w:t>.</w:t>
            </w:r>
          </w:p>
        </w:tc>
        <w:tc>
          <w:tcPr>
            <w:tcW w:w="1842" w:type="dxa"/>
            <w:shd w:val="clear" w:color="auto" w:fill="auto"/>
          </w:tcPr>
          <w:p w14:paraId="36673AA4" w14:textId="66C62B99" w:rsidR="00F155CF" w:rsidRPr="0090418C" w:rsidRDefault="00F155CF" w:rsidP="00F155CF">
            <w:pPr>
              <w:spacing w:after="240"/>
              <w:rPr>
                <w:sz w:val="18"/>
                <w:szCs w:val="18"/>
              </w:rPr>
            </w:pPr>
            <w:r>
              <w:rPr>
                <w:sz w:val="18"/>
                <w:szCs w:val="18"/>
              </w:rPr>
              <w:t>Joint submission</w:t>
            </w:r>
          </w:p>
        </w:tc>
        <w:tc>
          <w:tcPr>
            <w:tcW w:w="8931" w:type="dxa"/>
            <w:shd w:val="clear" w:color="auto" w:fill="auto"/>
          </w:tcPr>
          <w:p w14:paraId="31416C29" w14:textId="6C7BB867" w:rsidR="00F155CF" w:rsidRPr="00C521FE" w:rsidRDefault="008E037E" w:rsidP="0001420A">
            <w:pPr>
              <w:pStyle w:val="ListParagraph"/>
              <w:autoSpaceDE w:val="0"/>
              <w:autoSpaceDN w:val="0"/>
              <w:adjustRightInd w:val="0"/>
              <w:spacing w:after="240"/>
              <w:ind w:left="176" w:hanging="176"/>
              <w:rPr>
                <w:sz w:val="20"/>
                <w:szCs w:val="20"/>
              </w:rPr>
            </w:pPr>
            <w:r>
              <w:rPr>
                <w:sz w:val="18"/>
                <w:szCs w:val="18"/>
              </w:rPr>
              <w:t xml:space="preserve">The purpose of FSANZ’s </w:t>
            </w:r>
            <w:r w:rsidR="007C4689">
              <w:rPr>
                <w:sz w:val="18"/>
                <w:szCs w:val="18"/>
              </w:rPr>
              <w:t xml:space="preserve">safety </w:t>
            </w:r>
            <w:r>
              <w:rPr>
                <w:sz w:val="18"/>
                <w:szCs w:val="18"/>
              </w:rPr>
              <w:t xml:space="preserve">assessment </w:t>
            </w:r>
            <w:r w:rsidR="007C4689">
              <w:rPr>
                <w:sz w:val="18"/>
                <w:szCs w:val="18"/>
              </w:rPr>
              <w:t xml:space="preserve">of a GM food </w:t>
            </w:r>
            <w:r>
              <w:rPr>
                <w:sz w:val="18"/>
                <w:szCs w:val="18"/>
              </w:rPr>
              <w:t>is to determine the safety of the food, not to investigate the efficacy of the particular traits in question. FSANZ notes however that data was provided on the percentage reduction in acrylamide levels in cooked chips</w:t>
            </w:r>
            <w:r w:rsidR="0001420A">
              <w:rPr>
                <w:sz w:val="18"/>
                <w:szCs w:val="18"/>
              </w:rPr>
              <w:t xml:space="preserve"> (Section 3.4.6.3 and Table 7 of the SD1).</w:t>
            </w:r>
            <w:r>
              <w:rPr>
                <w:sz w:val="18"/>
                <w:szCs w:val="18"/>
              </w:rPr>
              <w:t xml:space="preserve"> </w:t>
            </w:r>
          </w:p>
        </w:tc>
      </w:tr>
      <w:tr w:rsidR="00F155CF" w:rsidRPr="00C655BA" w14:paraId="773A00B1" w14:textId="77777777" w:rsidTr="00D40A92">
        <w:tc>
          <w:tcPr>
            <w:tcW w:w="3256" w:type="dxa"/>
            <w:shd w:val="clear" w:color="auto" w:fill="auto"/>
          </w:tcPr>
          <w:p w14:paraId="630296DF" w14:textId="282BA212" w:rsidR="00F155CF" w:rsidRDefault="00F155CF" w:rsidP="0018528B">
            <w:pPr>
              <w:spacing w:after="240"/>
              <w:rPr>
                <w:sz w:val="18"/>
                <w:szCs w:val="18"/>
              </w:rPr>
            </w:pPr>
            <w:r w:rsidRPr="0050102F">
              <w:rPr>
                <w:sz w:val="18"/>
                <w:szCs w:val="18"/>
              </w:rPr>
              <w:t xml:space="preserve">The key ingredient in the applicant’s product is known as “heme” or soy leghemoglobin. </w:t>
            </w:r>
          </w:p>
        </w:tc>
        <w:tc>
          <w:tcPr>
            <w:tcW w:w="1842" w:type="dxa"/>
            <w:shd w:val="clear" w:color="auto" w:fill="auto"/>
          </w:tcPr>
          <w:p w14:paraId="7562C266" w14:textId="76A3B806" w:rsidR="00F155CF" w:rsidRDefault="00F155CF" w:rsidP="00F155CF">
            <w:pPr>
              <w:spacing w:after="240"/>
              <w:rPr>
                <w:sz w:val="18"/>
                <w:szCs w:val="18"/>
              </w:rPr>
            </w:pPr>
            <w:r>
              <w:rPr>
                <w:sz w:val="18"/>
                <w:szCs w:val="18"/>
              </w:rPr>
              <w:t>ASFA</w:t>
            </w:r>
          </w:p>
        </w:tc>
        <w:tc>
          <w:tcPr>
            <w:tcW w:w="8931" w:type="dxa"/>
            <w:shd w:val="clear" w:color="auto" w:fill="auto"/>
          </w:tcPr>
          <w:p w14:paraId="68C8B7A4" w14:textId="7B0D4AA1" w:rsidR="00F155CF" w:rsidRPr="0037390B" w:rsidRDefault="00F155CF" w:rsidP="00F155CF">
            <w:pPr>
              <w:pStyle w:val="ListParagraph"/>
              <w:autoSpaceDE w:val="0"/>
              <w:autoSpaceDN w:val="0"/>
              <w:adjustRightInd w:val="0"/>
              <w:spacing w:after="240"/>
              <w:ind w:left="176" w:hanging="176"/>
              <w:rPr>
                <w:sz w:val="18"/>
                <w:szCs w:val="18"/>
              </w:rPr>
            </w:pPr>
            <w:r w:rsidRPr="0037390B">
              <w:rPr>
                <w:sz w:val="18"/>
                <w:szCs w:val="18"/>
              </w:rPr>
              <w:t>Potato lines V11 and Z6 do not contain soy leghemoglobin.</w:t>
            </w:r>
          </w:p>
        </w:tc>
      </w:tr>
      <w:tr w:rsidR="00F155CF" w:rsidRPr="00C655BA" w14:paraId="6722519F" w14:textId="77777777" w:rsidTr="00D40A92">
        <w:tc>
          <w:tcPr>
            <w:tcW w:w="3256" w:type="dxa"/>
            <w:shd w:val="clear" w:color="auto" w:fill="auto"/>
          </w:tcPr>
          <w:p w14:paraId="34279E95" w14:textId="3B39D03A" w:rsidR="00B55164" w:rsidRPr="00247930" w:rsidRDefault="00A34C11" w:rsidP="00B55164">
            <w:pPr>
              <w:widowControl/>
              <w:rPr>
                <w:sz w:val="18"/>
                <w:szCs w:val="18"/>
              </w:rPr>
            </w:pPr>
            <w:r>
              <w:rPr>
                <w:sz w:val="18"/>
                <w:szCs w:val="18"/>
              </w:rPr>
              <w:t>T</w:t>
            </w:r>
            <w:r w:rsidR="00F155CF">
              <w:rPr>
                <w:sz w:val="18"/>
                <w:szCs w:val="18"/>
              </w:rPr>
              <w:t>here is no assessment of the data showing significant changes to the essential amino acid profiles</w:t>
            </w:r>
            <w:r w:rsidR="00C4515B">
              <w:rPr>
                <w:sz w:val="18"/>
                <w:szCs w:val="18"/>
              </w:rPr>
              <w:t>; The changes in concentrations of gl</w:t>
            </w:r>
            <w:r w:rsidR="001C31AB">
              <w:rPr>
                <w:sz w:val="18"/>
                <w:szCs w:val="18"/>
              </w:rPr>
              <w:t>utamine and asparagine in the GM</w:t>
            </w:r>
            <w:r w:rsidR="00C4515B">
              <w:rPr>
                <w:sz w:val="18"/>
                <w:szCs w:val="18"/>
              </w:rPr>
              <w:t xml:space="preserve"> potato lines ma</w:t>
            </w:r>
            <w:r w:rsidR="00B55164">
              <w:rPr>
                <w:sz w:val="18"/>
                <w:szCs w:val="18"/>
              </w:rPr>
              <w:t xml:space="preserve">y be of concern; Changes in the amino acid </w:t>
            </w:r>
            <w:r w:rsidR="00B55164" w:rsidRPr="00247930">
              <w:rPr>
                <w:sz w:val="18"/>
                <w:szCs w:val="18"/>
              </w:rPr>
              <w:t>potentially affects the levels of all other</w:t>
            </w:r>
          </w:p>
          <w:p w14:paraId="0F69D114" w14:textId="66091558" w:rsidR="00F155CF" w:rsidRDefault="001C31AB" w:rsidP="00B55164">
            <w:pPr>
              <w:spacing w:after="240"/>
              <w:rPr>
                <w:sz w:val="18"/>
                <w:szCs w:val="18"/>
              </w:rPr>
            </w:pPr>
            <w:r>
              <w:rPr>
                <w:sz w:val="18"/>
                <w:szCs w:val="18"/>
              </w:rPr>
              <w:t>compounds present in the GM</w:t>
            </w:r>
            <w:r w:rsidR="00B55164" w:rsidRPr="00247930">
              <w:rPr>
                <w:sz w:val="18"/>
                <w:szCs w:val="18"/>
              </w:rPr>
              <w:t xml:space="preserve"> potatoes</w:t>
            </w:r>
            <w:r w:rsidR="00B55164">
              <w:rPr>
                <w:sz w:val="18"/>
                <w:szCs w:val="18"/>
              </w:rPr>
              <w:t>.</w:t>
            </w:r>
          </w:p>
        </w:tc>
        <w:tc>
          <w:tcPr>
            <w:tcW w:w="1842" w:type="dxa"/>
            <w:shd w:val="clear" w:color="auto" w:fill="auto"/>
          </w:tcPr>
          <w:p w14:paraId="6986AE6D" w14:textId="1A071FDA" w:rsidR="00F155CF" w:rsidRPr="0090418C" w:rsidRDefault="00D34A47" w:rsidP="00F155CF">
            <w:pPr>
              <w:spacing w:after="240"/>
              <w:rPr>
                <w:sz w:val="18"/>
                <w:szCs w:val="18"/>
              </w:rPr>
            </w:pPr>
            <w:r>
              <w:rPr>
                <w:sz w:val="18"/>
                <w:szCs w:val="18"/>
              </w:rPr>
              <w:t>Private submitter (CB)</w:t>
            </w:r>
          </w:p>
        </w:tc>
        <w:tc>
          <w:tcPr>
            <w:tcW w:w="8931" w:type="dxa"/>
            <w:shd w:val="clear" w:color="auto" w:fill="auto"/>
          </w:tcPr>
          <w:p w14:paraId="7DA06139" w14:textId="4DAFEA72" w:rsidR="001D3186" w:rsidRPr="005C45DB" w:rsidRDefault="00C4515B" w:rsidP="005C45DB">
            <w:pPr>
              <w:autoSpaceDE w:val="0"/>
              <w:autoSpaceDN w:val="0"/>
              <w:adjustRightInd w:val="0"/>
              <w:spacing w:after="240"/>
              <w:rPr>
                <w:sz w:val="18"/>
                <w:szCs w:val="18"/>
              </w:rPr>
            </w:pPr>
            <w:r w:rsidRPr="005C45DB">
              <w:rPr>
                <w:sz w:val="18"/>
                <w:szCs w:val="18"/>
              </w:rPr>
              <w:t xml:space="preserve">FSANZ assessed </w:t>
            </w:r>
            <w:r w:rsidR="001D3186" w:rsidRPr="005C45DB">
              <w:rPr>
                <w:sz w:val="18"/>
                <w:szCs w:val="18"/>
              </w:rPr>
              <w:t>the</w:t>
            </w:r>
            <w:r w:rsidRPr="005C45DB">
              <w:rPr>
                <w:sz w:val="18"/>
                <w:szCs w:val="18"/>
              </w:rPr>
              <w:t xml:space="preserve"> levels of essential amino acids in</w:t>
            </w:r>
            <w:r w:rsidR="001D3186" w:rsidRPr="005C45DB">
              <w:rPr>
                <w:sz w:val="18"/>
                <w:szCs w:val="18"/>
              </w:rPr>
              <w:t xml:space="preserve"> Section 5 of the SD1.</w:t>
            </w:r>
          </w:p>
          <w:p w14:paraId="26FCA1CA" w14:textId="77777777" w:rsidR="00F155CF" w:rsidRDefault="001D3186" w:rsidP="001D3186">
            <w:pPr>
              <w:pStyle w:val="ListParagraph"/>
              <w:autoSpaceDE w:val="0"/>
              <w:autoSpaceDN w:val="0"/>
              <w:adjustRightInd w:val="0"/>
              <w:spacing w:after="240"/>
              <w:ind w:left="176" w:hanging="176"/>
              <w:rPr>
                <w:sz w:val="18"/>
                <w:szCs w:val="18"/>
              </w:rPr>
            </w:pPr>
            <w:r w:rsidRPr="001D3186">
              <w:rPr>
                <w:sz w:val="18"/>
                <w:szCs w:val="18"/>
              </w:rPr>
              <w:t>The levels of glutamine and asparagine in potato lines V11 and Z6 fall within the tolerance interval reported in the V11 study and combined literature range indicating these differences are within the natural variation that exists in</w:t>
            </w:r>
            <w:r w:rsidR="00280AE7">
              <w:rPr>
                <w:sz w:val="18"/>
                <w:szCs w:val="18"/>
              </w:rPr>
              <w:t xml:space="preserve"> non-GM</w:t>
            </w:r>
            <w:r w:rsidRPr="001D3186">
              <w:rPr>
                <w:sz w:val="18"/>
                <w:szCs w:val="18"/>
              </w:rPr>
              <w:t xml:space="preserve"> potato.</w:t>
            </w:r>
          </w:p>
          <w:p w14:paraId="4FA2C326" w14:textId="77777777" w:rsidR="00B55164" w:rsidRDefault="00B55164" w:rsidP="001D3186">
            <w:pPr>
              <w:pStyle w:val="ListParagraph"/>
              <w:autoSpaceDE w:val="0"/>
              <w:autoSpaceDN w:val="0"/>
              <w:adjustRightInd w:val="0"/>
              <w:spacing w:after="240"/>
              <w:ind w:left="176" w:hanging="176"/>
              <w:rPr>
                <w:sz w:val="18"/>
                <w:szCs w:val="18"/>
              </w:rPr>
            </w:pPr>
          </w:p>
          <w:p w14:paraId="6EDE7458" w14:textId="2A4C9094" w:rsidR="00B55164" w:rsidRPr="00B55164" w:rsidRDefault="00B55164" w:rsidP="005242D7">
            <w:pPr>
              <w:pStyle w:val="ListParagraph"/>
              <w:autoSpaceDE w:val="0"/>
              <w:autoSpaceDN w:val="0"/>
              <w:adjustRightInd w:val="0"/>
              <w:spacing w:after="240"/>
              <w:ind w:left="176" w:hanging="176"/>
              <w:rPr>
                <w:sz w:val="18"/>
                <w:szCs w:val="18"/>
              </w:rPr>
            </w:pPr>
            <w:r>
              <w:rPr>
                <w:sz w:val="18"/>
                <w:szCs w:val="18"/>
              </w:rPr>
              <w:t xml:space="preserve">The compositional analysis indicates that the </w:t>
            </w:r>
            <w:r w:rsidR="005242D7" w:rsidRPr="001D3186">
              <w:rPr>
                <w:sz w:val="18"/>
                <w:szCs w:val="18"/>
              </w:rPr>
              <w:t xml:space="preserve">V11 and Z6 </w:t>
            </w:r>
            <w:r>
              <w:rPr>
                <w:sz w:val="18"/>
                <w:szCs w:val="18"/>
              </w:rPr>
              <w:t xml:space="preserve">tubers are compositionally equivalent to tubers from </w:t>
            </w:r>
            <w:r w:rsidR="005242D7">
              <w:rPr>
                <w:sz w:val="18"/>
                <w:szCs w:val="18"/>
              </w:rPr>
              <w:t xml:space="preserve">non-GM </w:t>
            </w:r>
            <w:r>
              <w:rPr>
                <w:sz w:val="18"/>
                <w:szCs w:val="18"/>
              </w:rPr>
              <w:t xml:space="preserve">varieties. </w:t>
            </w:r>
          </w:p>
        </w:tc>
      </w:tr>
      <w:tr w:rsidR="00F155CF" w:rsidRPr="00C655BA" w14:paraId="00A87048" w14:textId="77777777" w:rsidTr="00D40A92">
        <w:tc>
          <w:tcPr>
            <w:tcW w:w="3256" w:type="dxa"/>
            <w:shd w:val="clear" w:color="auto" w:fill="auto"/>
          </w:tcPr>
          <w:p w14:paraId="2AA23221" w14:textId="24C4F2C1" w:rsidR="00F155CF" w:rsidRDefault="00F155CF" w:rsidP="00E7612C">
            <w:pPr>
              <w:spacing w:after="240"/>
              <w:rPr>
                <w:sz w:val="18"/>
                <w:szCs w:val="18"/>
              </w:rPr>
            </w:pPr>
            <w:r>
              <w:rPr>
                <w:sz w:val="18"/>
                <w:szCs w:val="18"/>
              </w:rPr>
              <w:t>The literature shows unexpected effects from ingest</w:t>
            </w:r>
            <w:r w:rsidR="001C31AB">
              <w:rPr>
                <w:sz w:val="18"/>
                <w:szCs w:val="18"/>
              </w:rPr>
              <w:t>ing GM</w:t>
            </w:r>
            <w:r w:rsidR="00E7612C">
              <w:rPr>
                <w:sz w:val="18"/>
                <w:szCs w:val="18"/>
              </w:rPr>
              <w:t xml:space="preserve"> potatoes</w:t>
            </w:r>
            <w:r w:rsidR="00280AE7">
              <w:rPr>
                <w:sz w:val="18"/>
                <w:szCs w:val="18"/>
              </w:rPr>
              <w:t>.</w:t>
            </w:r>
          </w:p>
        </w:tc>
        <w:tc>
          <w:tcPr>
            <w:tcW w:w="1842" w:type="dxa"/>
            <w:shd w:val="clear" w:color="auto" w:fill="auto"/>
          </w:tcPr>
          <w:p w14:paraId="2B69EF03" w14:textId="4AA39B47" w:rsidR="00F155CF" w:rsidRPr="0090418C" w:rsidRDefault="00D34A47" w:rsidP="00F155CF">
            <w:pPr>
              <w:spacing w:after="240"/>
              <w:rPr>
                <w:sz w:val="18"/>
                <w:szCs w:val="18"/>
              </w:rPr>
            </w:pPr>
            <w:r>
              <w:rPr>
                <w:sz w:val="18"/>
                <w:szCs w:val="18"/>
              </w:rPr>
              <w:t>Private submitter (CB)</w:t>
            </w:r>
          </w:p>
        </w:tc>
        <w:tc>
          <w:tcPr>
            <w:tcW w:w="8931" w:type="dxa"/>
            <w:shd w:val="clear" w:color="auto" w:fill="auto"/>
          </w:tcPr>
          <w:p w14:paraId="1A030375" w14:textId="288324B4" w:rsidR="00F155CF" w:rsidRPr="005C45DB" w:rsidRDefault="005427E8" w:rsidP="005C45DB">
            <w:pPr>
              <w:pStyle w:val="ListParagraph"/>
              <w:autoSpaceDE w:val="0"/>
              <w:autoSpaceDN w:val="0"/>
              <w:adjustRightInd w:val="0"/>
              <w:spacing w:after="240"/>
              <w:ind w:left="176" w:hanging="176"/>
              <w:rPr>
                <w:sz w:val="18"/>
                <w:szCs w:val="18"/>
              </w:rPr>
            </w:pPr>
            <w:r>
              <w:rPr>
                <w:sz w:val="18"/>
                <w:szCs w:val="18"/>
              </w:rPr>
              <w:t>FSANZ found</w:t>
            </w:r>
            <w:r w:rsidR="005C45DB" w:rsidRPr="005C45DB">
              <w:rPr>
                <w:sz w:val="18"/>
                <w:szCs w:val="18"/>
              </w:rPr>
              <w:t xml:space="preserve"> no evidence in the literature pointing to adverse effects from </w:t>
            </w:r>
            <w:r w:rsidR="00233991">
              <w:rPr>
                <w:sz w:val="18"/>
                <w:szCs w:val="18"/>
              </w:rPr>
              <w:t xml:space="preserve">potato lines </w:t>
            </w:r>
            <w:r w:rsidR="005C45DB" w:rsidRPr="005C45DB">
              <w:rPr>
                <w:sz w:val="18"/>
                <w:szCs w:val="18"/>
              </w:rPr>
              <w:t>V11 and Z6.</w:t>
            </w:r>
          </w:p>
        </w:tc>
      </w:tr>
      <w:tr w:rsidR="00E7612C" w:rsidRPr="00C655BA" w14:paraId="3867F6C2" w14:textId="77777777" w:rsidTr="00D40A92">
        <w:tc>
          <w:tcPr>
            <w:tcW w:w="3256" w:type="dxa"/>
            <w:shd w:val="clear" w:color="auto" w:fill="auto"/>
          </w:tcPr>
          <w:p w14:paraId="22E263EC" w14:textId="79DD256A" w:rsidR="00E7612C" w:rsidRDefault="00E7612C" w:rsidP="0018528B">
            <w:pPr>
              <w:spacing w:after="240"/>
              <w:rPr>
                <w:sz w:val="18"/>
                <w:szCs w:val="18"/>
              </w:rPr>
            </w:pPr>
            <w:r>
              <w:rPr>
                <w:sz w:val="18"/>
                <w:szCs w:val="18"/>
              </w:rPr>
              <w:t>A study by Tacket (2007) s</w:t>
            </w:r>
            <w:r w:rsidR="001C31AB">
              <w:rPr>
                <w:sz w:val="18"/>
                <w:szCs w:val="18"/>
              </w:rPr>
              <w:t>howed that the consumption of GM</w:t>
            </w:r>
            <w:r>
              <w:rPr>
                <w:sz w:val="18"/>
                <w:szCs w:val="18"/>
              </w:rPr>
              <w:t xml:space="preserve"> potatoes causes an increase in immunoglobulin levels in humans</w:t>
            </w:r>
            <w:r w:rsidR="0018528B">
              <w:rPr>
                <w:sz w:val="18"/>
                <w:szCs w:val="18"/>
              </w:rPr>
              <w:t>. FSANZ is required by law to undertake a dietary exposure modelling.</w:t>
            </w:r>
          </w:p>
        </w:tc>
        <w:tc>
          <w:tcPr>
            <w:tcW w:w="1842" w:type="dxa"/>
            <w:shd w:val="clear" w:color="auto" w:fill="auto"/>
          </w:tcPr>
          <w:p w14:paraId="62202AD3" w14:textId="4631BFA9" w:rsidR="00E7612C" w:rsidRDefault="00D34A47" w:rsidP="00F155CF">
            <w:pPr>
              <w:spacing w:after="240"/>
              <w:rPr>
                <w:sz w:val="18"/>
                <w:szCs w:val="18"/>
              </w:rPr>
            </w:pPr>
            <w:r>
              <w:rPr>
                <w:sz w:val="18"/>
                <w:szCs w:val="18"/>
              </w:rPr>
              <w:t>Private submitter (CB)</w:t>
            </w:r>
          </w:p>
        </w:tc>
        <w:tc>
          <w:tcPr>
            <w:tcW w:w="8931" w:type="dxa"/>
            <w:shd w:val="clear" w:color="auto" w:fill="auto"/>
          </w:tcPr>
          <w:p w14:paraId="5D50744C" w14:textId="5C6E0F1F" w:rsidR="005D3366" w:rsidRDefault="005D3366" w:rsidP="005D3366">
            <w:pPr>
              <w:pStyle w:val="ListParagraph"/>
              <w:autoSpaceDE w:val="0"/>
              <w:autoSpaceDN w:val="0"/>
              <w:adjustRightInd w:val="0"/>
              <w:spacing w:after="240"/>
              <w:ind w:left="176" w:hanging="176"/>
              <w:rPr>
                <w:sz w:val="18"/>
                <w:szCs w:val="18"/>
              </w:rPr>
            </w:pPr>
            <w:r>
              <w:rPr>
                <w:sz w:val="18"/>
                <w:szCs w:val="18"/>
              </w:rPr>
              <w:t>The Tacket (2007) study is not relevant to the safety of the potato lin</w:t>
            </w:r>
            <w:r w:rsidR="001C31AB">
              <w:rPr>
                <w:sz w:val="18"/>
                <w:szCs w:val="18"/>
              </w:rPr>
              <w:t>es in this application as the GM</w:t>
            </w:r>
            <w:r>
              <w:rPr>
                <w:sz w:val="18"/>
                <w:szCs w:val="18"/>
              </w:rPr>
              <w:t xml:space="preserve"> </w:t>
            </w:r>
            <w:r w:rsidR="00E7612C" w:rsidRPr="004F05C3">
              <w:rPr>
                <w:sz w:val="18"/>
                <w:szCs w:val="18"/>
              </w:rPr>
              <w:t xml:space="preserve">potatoes in the Tacket (2007) study were specifically </w:t>
            </w:r>
            <w:r w:rsidR="0080377A">
              <w:rPr>
                <w:sz w:val="18"/>
                <w:szCs w:val="18"/>
              </w:rPr>
              <w:t xml:space="preserve">and intentionally </w:t>
            </w:r>
            <w:r w:rsidR="00E7612C" w:rsidRPr="004F05C3">
              <w:rPr>
                <w:sz w:val="18"/>
                <w:szCs w:val="18"/>
              </w:rPr>
              <w:t>designed to trigger</w:t>
            </w:r>
            <w:r w:rsidR="004F05C3">
              <w:rPr>
                <w:sz w:val="18"/>
                <w:szCs w:val="18"/>
              </w:rPr>
              <w:t xml:space="preserve"> the immune response</w:t>
            </w:r>
            <w:r>
              <w:rPr>
                <w:sz w:val="18"/>
                <w:szCs w:val="18"/>
              </w:rPr>
              <w:t>.</w:t>
            </w:r>
            <w:r w:rsidR="00890DEE">
              <w:rPr>
                <w:sz w:val="18"/>
                <w:szCs w:val="18"/>
              </w:rPr>
              <w:t xml:space="preserve"> </w:t>
            </w:r>
            <w:r>
              <w:rPr>
                <w:sz w:val="18"/>
                <w:szCs w:val="18"/>
              </w:rPr>
              <w:t>Unlike the VNT1 protein expressed in potato lines V11 and Z6, t</w:t>
            </w:r>
            <w:r w:rsidR="004F05C3">
              <w:rPr>
                <w:sz w:val="18"/>
                <w:szCs w:val="18"/>
              </w:rPr>
              <w:t xml:space="preserve">he expressed proteins in Tacket (2007) are known to interact with the </w:t>
            </w:r>
            <w:r>
              <w:rPr>
                <w:sz w:val="18"/>
                <w:szCs w:val="18"/>
              </w:rPr>
              <w:t xml:space="preserve">human </w:t>
            </w:r>
            <w:r w:rsidR="004F05C3">
              <w:rPr>
                <w:sz w:val="18"/>
                <w:szCs w:val="18"/>
              </w:rPr>
              <w:t>immune system</w:t>
            </w:r>
            <w:r w:rsidR="00890DEE">
              <w:rPr>
                <w:sz w:val="18"/>
                <w:szCs w:val="18"/>
              </w:rPr>
              <w:t xml:space="preserve">. FSANZ has examined the safety of the VNT1 protein </w:t>
            </w:r>
            <w:r>
              <w:rPr>
                <w:sz w:val="18"/>
                <w:szCs w:val="18"/>
              </w:rPr>
              <w:t xml:space="preserve">and </w:t>
            </w:r>
            <w:r w:rsidR="00890DEE">
              <w:rPr>
                <w:sz w:val="18"/>
                <w:szCs w:val="18"/>
              </w:rPr>
              <w:t xml:space="preserve">has concluded that </w:t>
            </w:r>
            <w:r w:rsidR="004F05C3" w:rsidRPr="00890DEE">
              <w:rPr>
                <w:sz w:val="18"/>
                <w:szCs w:val="18"/>
              </w:rPr>
              <w:t>it is unlikely to pose any safety concerns to consumers</w:t>
            </w:r>
            <w:r>
              <w:rPr>
                <w:sz w:val="18"/>
                <w:szCs w:val="18"/>
              </w:rPr>
              <w:t xml:space="preserve"> (see Section 4 of the SD1)</w:t>
            </w:r>
            <w:r w:rsidR="004F05C3" w:rsidRPr="00890DEE">
              <w:rPr>
                <w:sz w:val="18"/>
                <w:szCs w:val="18"/>
              </w:rPr>
              <w:t>.</w:t>
            </w:r>
          </w:p>
          <w:p w14:paraId="291DF478" w14:textId="77777777" w:rsidR="0018528B" w:rsidRDefault="0018528B" w:rsidP="005D3366">
            <w:pPr>
              <w:pStyle w:val="ListParagraph"/>
              <w:autoSpaceDE w:val="0"/>
              <w:autoSpaceDN w:val="0"/>
              <w:adjustRightInd w:val="0"/>
              <w:spacing w:after="240"/>
              <w:ind w:left="176" w:hanging="176"/>
              <w:rPr>
                <w:sz w:val="18"/>
                <w:szCs w:val="18"/>
              </w:rPr>
            </w:pPr>
          </w:p>
          <w:p w14:paraId="0717D58B" w14:textId="2E30638D" w:rsidR="0018528B" w:rsidRPr="00F178A7" w:rsidRDefault="0018655E" w:rsidP="00B719FC">
            <w:pPr>
              <w:pStyle w:val="ListParagraph"/>
              <w:autoSpaceDE w:val="0"/>
              <w:autoSpaceDN w:val="0"/>
              <w:adjustRightInd w:val="0"/>
              <w:spacing w:after="240"/>
              <w:ind w:left="176" w:hanging="176"/>
              <w:rPr>
                <w:sz w:val="18"/>
                <w:szCs w:val="18"/>
              </w:rPr>
            </w:pPr>
            <w:r>
              <w:rPr>
                <w:sz w:val="18"/>
                <w:szCs w:val="18"/>
              </w:rPr>
              <w:t xml:space="preserve">As specified in the </w:t>
            </w:r>
            <w:hyperlink r:id="rId20" w:history="1">
              <w:r w:rsidRPr="0018655E">
                <w:rPr>
                  <w:rStyle w:val="Hyperlink"/>
                  <w:sz w:val="18"/>
                  <w:szCs w:val="18"/>
                </w:rPr>
                <w:t xml:space="preserve">FSANZ </w:t>
              </w:r>
              <w:r w:rsidR="00B719FC">
                <w:rPr>
                  <w:rStyle w:val="Hyperlink"/>
                  <w:sz w:val="18"/>
                  <w:szCs w:val="18"/>
                </w:rPr>
                <w:t>A</w:t>
              </w:r>
              <w:r w:rsidR="00B719FC" w:rsidRPr="0018655E">
                <w:rPr>
                  <w:rStyle w:val="Hyperlink"/>
                  <w:sz w:val="18"/>
                  <w:szCs w:val="18"/>
                </w:rPr>
                <w:t xml:space="preserve">pplication </w:t>
              </w:r>
              <w:r w:rsidRPr="0018655E">
                <w:rPr>
                  <w:rStyle w:val="Hyperlink"/>
                  <w:sz w:val="18"/>
                  <w:szCs w:val="18"/>
                </w:rPr>
                <w:t>handbook</w:t>
              </w:r>
            </w:hyperlink>
            <w:r>
              <w:rPr>
                <w:rStyle w:val="FootnoteReference"/>
                <w:sz w:val="18"/>
                <w:szCs w:val="18"/>
              </w:rPr>
              <w:footnoteReference w:id="12"/>
            </w:r>
            <w:r>
              <w:rPr>
                <w:sz w:val="18"/>
                <w:szCs w:val="18"/>
              </w:rPr>
              <w:t xml:space="preserve">, a dietary exposure assessment is carried out for GM foods that have altered nutritional characteristics. Assessing the nutritional adequacy of a GM food can, in most cases, be achieved through an understanding of the genetic modification and its consequences, together with an extensive compositional analysis. </w:t>
            </w:r>
            <w:r w:rsidR="00F178A7">
              <w:rPr>
                <w:sz w:val="18"/>
                <w:szCs w:val="18"/>
              </w:rPr>
              <w:t xml:space="preserve">As described in Section 6 of the SD1, the introduction of food from potato lines V11 and Z6 into the food supply is expected to have little nutritional impact. </w:t>
            </w:r>
            <w:r w:rsidR="00EE0D90" w:rsidRPr="00EE0D90">
              <w:rPr>
                <w:sz w:val="18"/>
                <w:szCs w:val="18"/>
              </w:rPr>
              <w:t>As FSANZ has assessed that potato lines V11 and Z6 do not have significantly altered nutritional characteristics, a dietary exposure assessment was not carried out for the purposes of this Application</w:t>
            </w:r>
            <w:r w:rsidR="00B04135">
              <w:rPr>
                <w:sz w:val="18"/>
                <w:szCs w:val="18"/>
              </w:rPr>
              <w:t>.</w:t>
            </w:r>
          </w:p>
        </w:tc>
      </w:tr>
      <w:tr w:rsidR="00F155CF" w:rsidRPr="00C655BA" w14:paraId="76B1831B" w14:textId="77777777" w:rsidTr="00D40A92">
        <w:tc>
          <w:tcPr>
            <w:tcW w:w="3256" w:type="dxa"/>
            <w:shd w:val="clear" w:color="auto" w:fill="auto"/>
          </w:tcPr>
          <w:p w14:paraId="41AB754C" w14:textId="277A419C" w:rsidR="00F155CF" w:rsidRDefault="00F155CF" w:rsidP="00F155CF">
            <w:pPr>
              <w:spacing w:after="240"/>
              <w:rPr>
                <w:sz w:val="18"/>
                <w:szCs w:val="18"/>
              </w:rPr>
            </w:pPr>
            <w:r w:rsidRPr="009F3E04">
              <w:rPr>
                <w:sz w:val="18"/>
                <w:szCs w:val="18"/>
              </w:rPr>
              <w:t xml:space="preserve">Potato lines V11 and V6 contain Timentin antibiotic resistance. Timentin will now enter the food supply and timentin-resistant </w:t>
            </w:r>
            <w:r>
              <w:rPr>
                <w:sz w:val="18"/>
                <w:szCs w:val="18"/>
              </w:rPr>
              <w:t>microbes will arise.</w:t>
            </w:r>
          </w:p>
        </w:tc>
        <w:tc>
          <w:tcPr>
            <w:tcW w:w="1842" w:type="dxa"/>
            <w:shd w:val="clear" w:color="auto" w:fill="auto"/>
          </w:tcPr>
          <w:p w14:paraId="69BFCA23" w14:textId="2B14B48D" w:rsidR="00F155CF" w:rsidRPr="0090418C" w:rsidRDefault="00D34A47" w:rsidP="00F155CF">
            <w:pPr>
              <w:spacing w:after="240"/>
              <w:rPr>
                <w:sz w:val="18"/>
                <w:szCs w:val="18"/>
              </w:rPr>
            </w:pPr>
            <w:r>
              <w:rPr>
                <w:sz w:val="18"/>
                <w:szCs w:val="18"/>
              </w:rPr>
              <w:t>Private submitter (JW)</w:t>
            </w:r>
          </w:p>
        </w:tc>
        <w:tc>
          <w:tcPr>
            <w:tcW w:w="8931" w:type="dxa"/>
            <w:shd w:val="clear" w:color="auto" w:fill="auto"/>
          </w:tcPr>
          <w:p w14:paraId="7DBA7F45" w14:textId="667CCEF2" w:rsidR="00F155CF" w:rsidRPr="002C0758" w:rsidRDefault="009C5EBF" w:rsidP="009F6556">
            <w:pPr>
              <w:pStyle w:val="Table2"/>
              <w:ind w:left="113" w:hanging="113"/>
              <w:rPr>
                <w:rFonts w:cs="Arial"/>
                <w:color w:val="000000" w:themeColor="text1"/>
                <w:szCs w:val="18"/>
                <w:lang w:bidi="ar-SA"/>
              </w:rPr>
            </w:pPr>
            <w:r>
              <w:rPr>
                <w:rFonts w:cs="Arial"/>
                <w:color w:val="000000" w:themeColor="text1"/>
                <w:szCs w:val="18"/>
                <w:lang w:bidi="ar-SA"/>
              </w:rPr>
              <w:t xml:space="preserve">No </w:t>
            </w:r>
            <w:r w:rsidR="009F6556">
              <w:rPr>
                <w:rFonts w:cs="Arial"/>
                <w:color w:val="000000" w:themeColor="text1"/>
                <w:szCs w:val="18"/>
                <w:lang w:bidi="ar-SA"/>
              </w:rPr>
              <w:t xml:space="preserve">Timentin nor any other </w:t>
            </w:r>
            <w:r>
              <w:rPr>
                <w:rFonts w:cs="Arial"/>
                <w:color w:val="000000" w:themeColor="text1"/>
                <w:szCs w:val="18"/>
                <w:lang w:bidi="ar-SA"/>
              </w:rPr>
              <w:t xml:space="preserve">antibiotic resistance genes are present in potato lines V11 and Z6 </w:t>
            </w:r>
            <w:r w:rsidRPr="004871D8">
              <w:rPr>
                <w:rFonts w:cs="Arial"/>
                <w:color w:val="000000" w:themeColor="text1"/>
                <w:szCs w:val="18"/>
                <w:lang w:bidi="ar-SA"/>
              </w:rPr>
              <w:t>(Section</w:t>
            </w:r>
            <w:r>
              <w:rPr>
                <w:rFonts w:cs="Arial"/>
                <w:color w:val="000000" w:themeColor="text1"/>
                <w:szCs w:val="18"/>
                <w:lang w:bidi="ar-SA"/>
              </w:rPr>
              <w:t xml:space="preserve"> 3.4.2</w:t>
            </w:r>
            <w:r w:rsidRPr="004871D8">
              <w:rPr>
                <w:rFonts w:cs="Arial"/>
                <w:color w:val="000000" w:themeColor="text1"/>
                <w:szCs w:val="18"/>
                <w:lang w:bidi="ar-SA"/>
              </w:rPr>
              <w:t xml:space="preserve"> of the SD1)</w:t>
            </w:r>
            <w:r>
              <w:rPr>
                <w:rFonts w:cs="Arial"/>
                <w:color w:val="000000" w:themeColor="text1"/>
                <w:szCs w:val="18"/>
                <w:lang w:bidi="ar-SA"/>
              </w:rPr>
              <w:t xml:space="preserve">. </w:t>
            </w:r>
            <w:r w:rsidR="00F155CF" w:rsidRPr="004871D8">
              <w:rPr>
                <w:rFonts w:cs="Arial"/>
                <w:color w:val="000000" w:themeColor="text1"/>
                <w:szCs w:val="18"/>
                <w:lang w:bidi="ar-SA"/>
              </w:rPr>
              <w:t xml:space="preserve">The antibiotic </w:t>
            </w:r>
            <w:r w:rsidR="009F6556">
              <w:rPr>
                <w:rFonts w:cs="Arial"/>
                <w:color w:val="000000" w:themeColor="text1"/>
                <w:szCs w:val="18"/>
                <w:lang w:bidi="ar-SA"/>
              </w:rPr>
              <w:t>T</w:t>
            </w:r>
            <w:r w:rsidR="009F6556" w:rsidRPr="004871D8">
              <w:rPr>
                <w:rFonts w:cs="Arial"/>
                <w:color w:val="000000" w:themeColor="text1"/>
                <w:szCs w:val="18"/>
                <w:lang w:bidi="ar-SA"/>
              </w:rPr>
              <w:t xml:space="preserve">imentin </w:t>
            </w:r>
            <w:r w:rsidR="00F155CF" w:rsidRPr="004871D8">
              <w:rPr>
                <w:rFonts w:cs="Arial"/>
                <w:color w:val="000000" w:themeColor="text1"/>
                <w:szCs w:val="18"/>
                <w:lang w:bidi="ar-SA"/>
              </w:rPr>
              <w:t xml:space="preserve">was </w:t>
            </w:r>
            <w:r w:rsidR="009F6556">
              <w:rPr>
                <w:rFonts w:cs="Arial"/>
                <w:color w:val="000000" w:themeColor="text1"/>
                <w:szCs w:val="18"/>
                <w:lang w:bidi="ar-SA"/>
              </w:rPr>
              <w:t xml:space="preserve">only </w:t>
            </w:r>
            <w:r w:rsidR="00F155CF">
              <w:rPr>
                <w:rFonts w:cs="Arial"/>
                <w:color w:val="000000" w:themeColor="text1"/>
                <w:szCs w:val="18"/>
                <w:lang w:bidi="ar-SA"/>
              </w:rPr>
              <w:t>used during the transformation process to</w:t>
            </w:r>
            <w:r w:rsidR="00F155CF" w:rsidRPr="004871D8">
              <w:rPr>
                <w:rFonts w:cs="Arial"/>
                <w:color w:val="000000" w:themeColor="text1"/>
                <w:szCs w:val="18"/>
                <w:lang w:bidi="ar-SA"/>
              </w:rPr>
              <w:t xml:space="preserve"> suppress agrobacterium </w:t>
            </w:r>
            <w:r w:rsidR="00F155CF">
              <w:rPr>
                <w:rFonts w:cs="Arial"/>
                <w:color w:val="000000" w:themeColor="text1"/>
                <w:szCs w:val="18"/>
                <w:lang w:bidi="ar-SA"/>
              </w:rPr>
              <w:t>growth (Section 3.1 of the SD1)</w:t>
            </w:r>
            <w:r w:rsidR="00F155CF" w:rsidRPr="004871D8">
              <w:rPr>
                <w:rFonts w:cs="Arial"/>
                <w:color w:val="000000" w:themeColor="text1"/>
                <w:szCs w:val="18"/>
                <w:lang w:bidi="ar-SA"/>
              </w:rPr>
              <w:t>.</w:t>
            </w:r>
            <w:r w:rsidR="00F155CF" w:rsidRPr="002C0758">
              <w:rPr>
                <w:rFonts w:cs="Arial"/>
                <w:color w:val="000000" w:themeColor="text1"/>
                <w:szCs w:val="18"/>
                <w:lang w:bidi="ar-SA"/>
              </w:rPr>
              <w:t xml:space="preserve"> </w:t>
            </w:r>
          </w:p>
        </w:tc>
      </w:tr>
      <w:tr w:rsidR="00F155CF" w:rsidRPr="00C655BA" w14:paraId="419157C2" w14:textId="77777777" w:rsidTr="00D40A92">
        <w:tc>
          <w:tcPr>
            <w:tcW w:w="3256" w:type="dxa"/>
            <w:shd w:val="clear" w:color="auto" w:fill="auto"/>
          </w:tcPr>
          <w:p w14:paraId="5C3A0DA3" w14:textId="6D406B09" w:rsidR="00F155CF" w:rsidRDefault="00F155CF" w:rsidP="00F155CF">
            <w:pPr>
              <w:spacing w:after="240"/>
              <w:rPr>
                <w:sz w:val="18"/>
                <w:szCs w:val="18"/>
              </w:rPr>
            </w:pPr>
            <w:r>
              <w:rPr>
                <w:sz w:val="18"/>
                <w:szCs w:val="18"/>
              </w:rPr>
              <w:t>Transgenes can survive the process of digestion.</w:t>
            </w:r>
          </w:p>
        </w:tc>
        <w:tc>
          <w:tcPr>
            <w:tcW w:w="1842" w:type="dxa"/>
            <w:shd w:val="clear" w:color="auto" w:fill="auto"/>
          </w:tcPr>
          <w:p w14:paraId="3A2A0021" w14:textId="303C7AC4" w:rsidR="00F155CF" w:rsidRPr="0090418C" w:rsidRDefault="00F155CF" w:rsidP="00F155CF">
            <w:pPr>
              <w:spacing w:after="240"/>
              <w:rPr>
                <w:sz w:val="18"/>
                <w:szCs w:val="18"/>
              </w:rPr>
            </w:pPr>
            <w:r w:rsidRPr="008E426F">
              <w:rPr>
                <w:sz w:val="18"/>
                <w:szCs w:val="18"/>
              </w:rPr>
              <w:t>Late</w:t>
            </w:r>
            <w:r w:rsidRPr="008E426F">
              <w:rPr>
                <w:i/>
                <w:sz w:val="18"/>
                <w:szCs w:val="18"/>
              </w:rPr>
              <w:t xml:space="preserve"> Comment (SACA)</w:t>
            </w:r>
          </w:p>
        </w:tc>
        <w:tc>
          <w:tcPr>
            <w:tcW w:w="8931" w:type="dxa"/>
            <w:shd w:val="clear" w:color="auto" w:fill="auto"/>
          </w:tcPr>
          <w:p w14:paraId="7853CAA0" w14:textId="6D31CA8D" w:rsidR="00F155CF" w:rsidRPr="00F21CA7" w:rsidRDefault="00F155CF" w:rsidP="00F155CF">
            <w:pPr>
              <w:pStyle w:val="Table2"/>
              <w:ind w:left="113" w:hanging="113"/>
              <w:rPr>
                <w:rFonts w:cs="Arial"/>
                <w:color w:val="000000" w:themeColor="text1"/>
                <w:szCs w:val="18"/>
              </w:rPr>
            </w:pPr>
            <w:r>
              <w:rPr>
                <w:rFonts w:cs="Arial"/>
                <w:color w:val="000000" w:themeColor="text1"/>
                <w:szCs w:val="18"/>
                <w:lang w:bidi="ar-SA"/>
              </w:rPr>
              <w:t>In terms of risk, t</w:t>
            </w:r>
            <w:r w:rsidRPr="0026747B">
              <w:rPr>
                <w:rFonts w:cs="Arial"/>
                <w:color w:val="000000" w:themeColor="text1"/>
                <w:szCs w:val="18"/>
                <w:lang w:bidi="ar-SA"/>
              </w:rPr>
              <w:t xml:space="preserve">here is no difference between </w:t>
            </w:r>
            <w:r>
              <w:rPr>
                <w:rFonts w:cs="Arial"/>
                <w:color w:val="000000" w:themeColor="text1"/>
                <w:szCs w:val="18"/>
                <w:lang w:bidi="ar-SA"/>
              </w:rPr>
              <w:t>foreign</w:t>
            </w:r>
            <w:r w:rsidRPr="0026747B">
              <w:rPr>
                <w:rFonts w:cs="Arial"/>
                <w:color w:val="000000" w:themeColor="text1"/>
                <w:szCs w:val="18"/>
                <w:lang w:bidi="ar-SA"/>
              </w:rPr>
              <w:t xml:space="preserve"> DNA and the DNA already present in our diet.</w:t>
            </w:r>
            <w:r>
              <w:rPr>
                <w:rFonts w:cs="Arial"/>
                <w:color w:val="000000" w:themeColor="text1"/>
                <w:szCs w:val="18"/>
                <w:lang w:bidi="ar-SA"/>
              </w:rPr>
              <w:t xml:space="preserve"> FSANZ has considered this issue in detail and a</w:t>
            </w:r>
            <w:r w:rsidRPr="0026747B">
              <w:rPr>
                <w:rFonts w:cs="Arial"/>
                <w:color w:val="000000" w:themeColor="text1"/>
                <w:szCs w:val="18"/>
              </w:rPr>
              <w:t xml:space="preserve"> summary is </w:t>
            </w:r>
            <w:r>
              <w:rPr>
                <w:rFonts w:cs="Arial"/>
                <w:color w:val="000000" w:themeColor="text1"/>
                <w:szCs w:val="18"/>
              </w:rPr>
              <w:t xml:space="preserve">available on the </w:t>
            </w:r>
            <w:hyperlink r:id="rId21" w:history="1">
              <w:r w:rsidRPr="00702C8A">
                <w:rPr>
                  <w:rStyle w:val="Hyperlink"/>
                  <w:rFonts w:cs="Arial"/>
                  <w:szCs w:val="18"/>
                </w:rPr>
                <w:t>FSANZ website</w:t>
              </w:r>
            </w:hyperlink>
            <w:r>
              <w:rPr>
                <w:rStyle w:val="FootnoteReference"/>
                <w:rFonts w:cs="Arial"/>
                <w:color w:val="000000" w:themeColor="text1"/>
                <w:szCs w:val="18"/>
              </w:rPr>
              <w:footnoteReference w:id="13"/>
            </w:r>
            <w:r>
              <w:rPr>
                <w:rFonts w:cs="Arial"/>
                <w:color w:val="000000" w:themeColor="text1"/>
                <w:szCs w:val="18"/>
              </w:rPr>
              <w:t>.</w:t>
            </w:r>
          </w:p>
        </w:tc>
      </w:tr>
      <w:tr w:rsidR="00F155CF" w:rsidRPr="00C655BA" w14:paraId="2AF189EA" w14:textId="77777777" w:rsidTr="00D40A92">
        <w:tc>
          <w:tcPr>
            <w:tcW w:w="3256" w:type="dxa"/>
            <w:shd w:val="clear" w:color="auto" w:fill="auto"/>
          </w:tcPr>
          <w:p w14:paraId="7FE07C39" w14:textId="0F99673D" w:rsidR="00F155CF" w:rsidRDefault="00F155CF" w:rsidP="00F155CF">
            <w:pPr>
              <w:spacing w:after="240"/>
              <w:rPr>
                <w:sz w:val="18"/>
                <w:szCs w:val="18"/>
              </w:rPr>
            </w:pPr>
            <w:r>
              <w:rPr>
                <w:sz w:val="18"/>
                <w:szCs w:val="18"/>
              </w:rPr>
              <w:t>Concerns regarding the CRISPR/Cas9 gene editing tool</w:t>
            </w:r>
            <w:r w:rsidR="00736C03">
              <w:rPr>
                <w:sz w:val="18"/>
                <w:szCs w:val="18"/>
              </w:rPr>
              <w:t>.</w:t>
            </w:r>
          </w:p>
        </w:tc>
        <w:tc>
          <w:tcPr>
            <w:tcW w:w="1842" w:type="dxa"/>
            <w:shd w:val="clear" w:color="auto" w:fill="auto"/>
          </w:tcPr>
          <w:p w14:paraId="620A933C" w14:textId="11D40B0C" w:rsidR="00F155CF" w:rsidRPr="0090418C" w:rsidRDefault="00F155CF" w:rsidP="00F155CF">
            <w:pPr>
              <w:spacing w:after="240"/>
              <w:rPr>
                <w:sz w:val="18"/>
                <w:szCs w:val="18"/>
              </w:rPr>
            </w:pPr>
            <w:r w:rsidRPr="008E426F">
              <w:rPr>
                <w:sz w:val="18"/>
                <w:szCs w:val="18"/>
              </w:rPr>
              <w:t>Late</w:t>
            </w:r>
            <w:r w:rsidRPr="008E426F">
              <w:rPr>
                <w:i/>
                <w:sz w:val="18"/>
                <w:szCs w:val="18"/>
              </w:rPr>
              <w:t xml:space="preserve"> Comment (SACA)</w:t>
            </w:r>
          </w:p>
        </w:tc>
        <w:tc>
          <w:tcPr>
            <w:tcW w:w="8931" w:type="dxa"/>
            <w:shd w:val="clear" w:color="auto" w:fill="auto"/>
          </w:tcPr>
          <w:p w14:paraId="4ABF60CE" w14:textId="0DCA66AC" w:rsidR="00F155CF" w:rsidRDefault="00F155CF" w:rsidP="00280AE7">
            <w:pPr>
              <w:pStyle w:val="ListParagraph"/>
              <w:autoSpaceDE w:val="0"/>
              <w:autoSpaceDN w:val="0"/>
              <w:adjustRightInd w:val="0"/>
              <w:spacing w:after="240"/>
              <w:ind w:left="176" w:hanging="176"/>
              <w:rPr>
                <w:sz w:val="20"/>
                <w:szCs w:val="20"/>
              </w:rPr>
            </w:pPr>
            <w:r w:rsidRPr="00E940F3">
              <w:rPr>
                <w:rFonts w:cs="Arial"/>
                <w:color w:val="000000" w:themeColor="text1"/>
                <w:sz w:val="18"/>
                <w:szCs w:val="18"/>
              </w:rPr>
              <w:t xml:space="preserve">The genetic modification of </w:t>
            </w:r>
            <w:r>
              <w:rPr>
                <w:rFonts w:cs="Arial"/>
                <w:color w:val="000000" w:themeColor="text1"/>
                <w:sz w:val="18"/>
                <w:szCs w:val="18"/>
              </w:rPr>
              <w:t>potato lines V11 and Z6</w:t>
            </w:r>
            <w:r w:rsidR="00280AE7">
              <w:rPr>
                <w:rFonts w:cs="Arial"/>
                <w:color w:val="000000" w:themeColor="text1"/>
                <w:sz w:val="18"/>
                <w:szCs w:val="18"/>
              </w:rPr>
              <w:t xml:space="preserve"> is by agrobacterium-mediated</w:t>
            </w:r>
            <w:r w:rsidRPr="00E940F3">
              <w:rPr>
                <w:rFonts w:cs="Arial"/>
                <w:color w:val="000000" w:themeColor="text1"/>
                <w:sz w:val="18"/>
                <w:szCs w:val="18"/>
              </w:rPr>
              <w:t xml:space="preserve"> transgenesis, not gene editing (Section 3.1 of the SD1</w:t>
            </w:r>
            <w:r>
              <w:rPr>
                <w:rFonts w:cs="Arial"/>
                <w:color w:val="000000" w:themeColor="text1"/>
                <w:sz w:val="18"/>
                <w:szCs w:val="18"/>
              </w:rPr>
              <w:t>).</w:t>
            </w:r>
          </w:p>
        </w:tc>
      </w:tr>
      <w:tr w:rsidR="00F155CF" w:rsidRPr="00C655BA" w14:paraId="50008E43" w14:textId="77777777" w:rsidTr="00D40A92">
        <w:tc>
          <w:tcPr>
            <w:tcW w:w="3256" w:type="dxa"/>
            <w:shd w:val="clear" w:color="auto" w:fill="auto"/>
          </w:tcPr>
          <w:p w14:paraId="53FF66B1" w14:textId="244C5671" w:rsidR="00F155CF" w:rsidRDefault="00F155CF" w:rsidP="00F155CF">
            <w:pPr>
              <w:spacing w:after="240"/>
              <w:rPr>
                <w:sz w:val="18"/>
                <w:szCs w:val="18"/>
              </w:rPr>
            </w:pPr>
            <w:r>
              <w:rPr>
                <w:sz w:val="18"/>
                <w:szCs w:val="18"/>
              </w:rPr>
              <w:t>FSANZ should make public the methodology used in the research laboratories</w:t>
            </w:r>
            <w:r w:rsidR="00736C03">
              <w:rPr>
                <w:sz w:val="18"/>
                <w:szCs w:val="18"/>
              </w:rPr>
              <w:t>.</w:t>
            </w:r>
          </w:p>
        </w:tc>
        <w:tc>
          <w:tcPr>
            <w:tcW w:w="1842" w:type="dxa"/>
            <w:shd w:val="clear" w:color="auto" w:fill="auto"/>
          </w:tcPr>
          <w:p w14:paraId="0813860C" w14:textId="2F6248FC" w:rsidR="00F155CF" w:rsidRDefault="00F155CF" w:rsidP="00F155CF">
            <w:pPr>
              <w:spacing w:after="240"/>
              <w:rPr>
                <w:sz w:val="18"/>
                <w:szCs w:val="18"/>
              </w:rPr>
            </w:pPr>
            <w:r w:rsidRPr="008E426F">
              <w:rPr>
                <w:sz w:val="18"/>
                <w:szCs w:val="18"/>
              </w:rPr>
              <w:t>Late</w:t>
            </w:r>
            <w:r w:rsidRPr="008E426F">
              <w:rPr>
                <w:i/>
                <w:sz w:val="18"/>
                <w:szCs w:val="18"/>
              </w:rPr>
              <w:t xml:space="preserve"> Comment (SACA)</w:t>
            </w:r>
          </w:p>
        </w:tc>
        <w:tc>
          <w:tcPr>
            <w:tcW w:w="8931" w:type="dxa"/>
            <w:shd w:val="clear" w:color="auto" w:fill="auto"/>
          </w:tcPr>
          <w:p w14:paraId="700A237E" w14:textId="0D357423" w:rsidR="00F155CF" w:rsidRPr="0087728B" w:rsidRDefault="00F155CF" w:rsidP="00F155CF">
            <w:pPr>
              <w:pStyle w:val="ListParagraph"/>
              <w:autoSpaceDE w:val="0"/>
              <w:autoSpaceDN w:val="0"/>
              <w:adjustRightInd w:val="0"/>
              <w:spacing w:after="240"/>
              <w:ind w:left="176" w:hanging="176"/>
            </w:pPr>
            <w:r w:rsidRPr="0087728B">
              <w:rPr>
                <w:rFonts w:cs="Arial"/>
                <w:color w:val="000000" w:themeColor="text1"/>
                <w:sz w:val="18"/>
                <w:szCs w:val="18"/>
              </w:rPr>
              <w:t>The genetic modification methodology is described in Section 3.1 of the SD1. The methods used to characterise</w:t>
            </w:r>
            <w:r>
              <w:rPr>
                <w:rFonts w:cs="Arial"/>
                <w:color w:val="000000" w:themeColor="text1"/>
                <w:sz w:val="18"/>
                <w:szCs w:val="18"/>
              </w:rPr>
              <w:t xml:space="preserve"> the genetic modification, used in the safety assessment of novel substances and in the compositional analysis are also present in the SD1. </w:t>
            </w:r>
            <w:r w:rsidRPr="0087728B">
              <w:rPr>
                <w:rFonts w:cs="Arial"/>
                <w:color w:val="000000" w:themeColor="text1"/>
                <w:sz w:val="18"/>
                <w:szCs w:val="18"/>
              </w:rPr>
              <w:t xml:space="preserve">Further information on methodologies </w:t>
            </w:r>
            <w:r>
              <w:rPr>
                <w:rFonts w:cs="Arial"/>
                <w:color w:val="000000" w:themeColor="text1"/>
                <w:sz w:val="18"/>
                <w:szCs w:val="18"/>
              </w:rPr>
              <w:t xml:space="preserve">used for potato lines V11 and Z6 can be found in </w:t>
            </w:r>
            <w:r w:rsidRPr="0087728B">
              <w:rPr>
                <w:rFonts w:cs="Arial"/>
                <w:color w:val="000000" w:themeColor="text1"/>
                <w:sz w:val="18"/>
                <w:szCs w:val="18"/>
              </w:rPr>
              <w:t xml:space="preserve">the </w:t>
            </w:r>
            <w:r>
              <w:rPr>
                <w:rFonts w:cs="Arial"/>
                <w:color w:val="000000" w:themeColor="text1"/>
                <w:sz w:val="18"/>
                <w:szCs w:val="18"/>
              </w:rPr>
              <w:t>a</w:t>
            </w:r>
            <w:r w:rsidRPr="0087728B">
              <w:rPr>
                <w:rFonts w:cs="Arial"/>
                <w:color w:val="000000" w:themeColor="text1"/>
                <w:sz w:val="18"/>
                <w:szCs w:val="18"/>
              </w:rPr>
              <w:t>pplication document, as well as in the appendices.</w:t>
            </w:r>
            <w:r>
              <w:rPr>
                <w:rFonts w:cs="Arial"/>
                <w:color w:val="000000" w:themeColor="text1"/>
                <w:sz w:val="18"/>
                <w:szCs w:val="18"/>
              </w:rPr>
              <w:t xml:space="preserve"> These documents</w:t>
            </w:r>
            <w:r w:rsidRPr="00F21CA7">
              <w:rPr>
                <w:rFonts w:cs="Arial"/>
                <w:bCs/>
                <w:color w:val="000000" w:themeColor="text1"/>
                <w:sz w:val="18"/>
                <w:szCs w:val="18"/>
                <w:lang w:bidi="ar-SA"/>
              </w:rPr>
              <w:t xml:space="preserve"> </w:t>
            </w:r>
            <w:r w:rsidRPr="0087728B">
              <w:rPr>
                <w:rFonts w:cs="Arial"/>
                <w:color w:val="000000" w:themeColor="text1"/>
                <w:sz w:val="18"/>
                <w:szCs w:val="18"/>
              </w:rPr>
              <w:t xml:space="preserve">are publically available </w:t>
            </w:r>
            <w:r>
              <w:rPr>
                <w:rFonts w:cs="Arial"/>
                <w:color w:val="000000" w:themeColor="text1"/>
                <w:sz w:val="18"/>
                <w:szCs w:val="18"/>
              </w:rPr>
              <w:t xml:space="preserve">on the </w:t>
            </w:r>
            <w:hyperlink r:id="rId22" w:history="1">
              <w:r w:rsidRPr="0087728B">
                <w:rPr>
                  <w:rStyle w:val="Hyperlink"/>
                  <w:rFonts w:cs="Arial"/>
                  <w:sz w:val="18"/>
                  <w:szCs w:val="18"/>
                </w:rPr>
                <w:t>FSANZ website</w:t>
              </w:r>
            </w:hyperlink>
            <w:r>
              <w:rPr>
                <w:rStyle w:val="FootnoteReference"/>
                <w:rFonts w:cs="Arial"/>
                <w:color w:val="000000" w:themeColor="text1"/>
                <w:sz w:val="18"/>
                <w:szCs w:val="18"/>
              </w:rPr>
              <w:footnoteReference w:id="14"/>
            </w:r>
            <w:r>
              <w:rPr>
                <w:rFonts w:cs="Arial"/>
                <w:color w:val="000000" w:themeColor="text1"/>
                <w:sz w:val="18"/>
                <w:szCs w:val="18"/>
              </w:rPr>
              <w:t>.</w:t>
            </w:r>
          </w:p>
        </w:tc>
      </w:tr>
      <w:tr w:rsidR="00F155CF" w:rsidRPr="00C655BA" w14:paraId="7A4CF1C0" w14:textId="77777777" w:rsidTr="00D40A92">
        <w:tc>
          <w:tcPr>
            <w:tcW w:w="3256" w:type="dxa"/>
            <w:shd w:val="clear" w:color="auto" w:fill="auto"/>
          </w:tcPr>
          <w:p w14:paraId="0E8A3400" w14:textId="0D79AFF6" w:rsidR="00F155CF" w:rsidRDefault="00F155CF" w:rsidP="00F155CF">
            <w:pPr>
              <w:spacing w:after="240"/>
              <w:rPr>
                <w:sz w:val="18"/>
                <w:szCs w:val="18"/>
              </w:rPr>
            </w:pPr>
            <w:r>
              <w:rPr>
                <w:sz w:val="18"/>
                <w:szCs w:val="18"/>
              </w:rPr>
              <w:t>FSANZ should</w:t>
            </w:r>
            <w:r w:rsidRPr="0050102F">
              <w:rPr>
                <w:sz w:val="18"/>
                <w:szCs w:val="18"/>
              </w:rPr>
              <w:t xml:space="preserve"> publish information on the full analysis</w:t>
            </w:r>
            <w:r>
              <w:rPr>
                <w:sz w:val="18"/>
                <w:szCs w:val="18"/>
              </w:rPr>
              <w:t xml:space="preserve"> of the contents of the GM </w:t>
            </w:r>
            <w:r w:rsidRPr="0050102F">
              <w:rPr>
                <w:sz w:val="18"/>
                <w:szCs w:val="18"/>
              </w:rPr>
              <w:t>potatoes, so that any potential novel toxins or proteins may be identified</w:t>
            </w:r>
            <w:r>
              <w:rPr>
                <w:sz w:val="18"/>
                <w:szCs w:val="18"/>
              </w:rPr>
              <w:t>.</w:t>
            </w:r>
          </w:p>
        </w:tc>
        <w:tc>
          <w:tcPr>
            <w:tcW w:w="1842" w:type="dxa"/>
            <w:shd w:val="clear" w:color="auto" w:fill="auto"/>
          </w:tcPr>
          <w:p w14:paraId="66F991EE" w14:textId="30B35F11" w:rsidR="00F155CF" w:rsidRPr="008E426F" w:rsidRDefault="00F155CF" w:rsidP="00F155CF">
            <w:pPr>
              <w:spacing w:after="240"/>
              <w:rPr>
                <w:sz w:val="18"/>
                <w:szCs w:val="18"/>
              </w:rPr>
            </w:pPr>
            <w:r w:rsidRPr="008E426F">
              <w:rPr>
                <w:sz w:val="18"/>
                <w:szCs w:val="18"/>
              </w:rPr>
              <w:t>Late</w:t>
            </w:r>
            <w:r w:rsidRPr="008E426F">
              <w:rPr>
                <w:i/>
                <w:sz w:val="18"/>
                <w:szCs w:val="18"/>
              </w:rPr>
              <w:t xml:space="preserve"> Comment (SACA)</w:t>
            </w:r>
          </w:p>
        </w:tc>
        <w:tc>
          <w:tcPr>
            <w:tcW w:w="8931" w:type="dxa"/>
            <w:shd w:val="clear" w:color="auto" w:fill="auto"/>
          </w:tcPr>
          <w:p w14:paraId="0F603E91" w14:textId="673B8892" w:rsidR="00280AE7" w:rsidRPr="00A31CCC" w:rsidRDefault="00B55164" w:rsidP="00A31CCC">
            <w:pPr>
              <w:pStyle w:val="ListParagraph"/>
              <w:autoSpaceDE w:val="0"/>
              <w:autoSpaceDN w:val="0"/>
              <w:adjustRightInd w:val="0"/>
              <w:ind w:left="176" w:hanging="176"/>
              <w:rPr>
                <w:color w:val="000000" w:themeColor="text1"/>
                <w:sz w:val="18"/>
                <w:szCs w:val="18"/>
              </w:rPr>
            </w:pPr>
            <w:r>
              <w:rPr>
                <w:color w:val="000000" w:themeColor="text1"/>
                <w:sz w:val="18"/>
                <w:szCs w:val="18"/>
              </w:rPr>
              <w:t xml:space="preserve">A detailed compositional analysis was performed on potato lines V11 and Z6 (see Section 5 of the SD1). Novel proteins and toxins were evaluated in </w:t>
            </w:r>
            <w:r w:rsidR="00A31CCC">
              <w:rPr>
                <w:color w:val="000000" w:themeColor="text1"/>
                <w:sz w:val="18"/>
                <w:szCs w:val="18"/>
              </w:rPr>
              <w:t>Section 3.4.5 of the SD1. The characterisation and safety assessment of the VNT1 protein can be found in Section 4.1 of the SD1.</w:t>
            </w:r>
          </w:p>
        </w:tc>
      </w:tr>
      <w:tr w:rsidR="00F155CF" w:rsidRPr="00C655BA" w14:paraId="7EBC54F1" w14:textId="77777777" w:rsidTr="00D40A92">
        <w:tc>
          <w:tcPr>
            <w:tcW w:w="3256" w:type="dxa"/>
            <w:shd w:val="clear" w:color="auto" w:fill="auto"/>
          </w:tcPr>
          <w:p w14:paraId="0709DC9A" w14:textId="2E304FFD" w:rsidR="00F155CF" w:rsidRDefault="00F155CF" w:rsidP="00505A3B">
            <w:pPr>
              <w:spacing w:after="240"/>
              <w:rPr>
                <w:sz w:val="18"/>
                <w:szCs w:val="18"/>
              </w:rPr>
            </w:pPr>
            <w:r w:rsidRPr="0022716B">
              <w:rPr>
                <w:sz w:val="18"/>
                <w:szCs w:val="18"/>
              </w:rPr>
              <w:t>Gener</w:t>
            </w:r>
            <w:r>
              <w:rPr>
                <w:sz w:val="18"/>
                <w:szCs w:val="18"/>
              </w:rPr>
              <w:t>al safety concern of GM foods; a toxin from GM crops was found in human blood</w:t>
            </w:r>
            <w:r w:rsidR="00010A1B">
              <w:rPr>
                <w:sz w:val="18"/>
                <w:szCs w:val="18"/>
              </w:rPr>
              <w:t>.</w:t>
            </w:r>
            <w:r>
              <w:rPr>
                <w:sz w:val="18"/>
                <w:szCs w:val="18"/>
              </w:rPr>
              <w:t xml:space="preserve"> </w:t>
            </w:r>
          </w:p>
        </w:tc>
        <w:tc>
          <w:tcPr>
            <w:tcW w:w="1842" w:type="dxa"/>
            <w:shd w:val="clear" w:color="auto" w:fill="auto"/>
          </w:tcPr>
          <w:p w14:paraId="2060A2CA" w14:textId="48275E68" w:rsidR="00F155CF" w:rsidRPr="0090418C" w:rsidRDefault="006D76EE" w:rsidP="00F155CF">
            <w:pPr>
              <w:spacing w:after="240"/>
              <w:rPr>
                <w:sz w:val="18"/>
                <w:szCs w:val="18"/>
              </w:rPr>
            </w:pPr>
            <w:r>
              <w:rPr>
                <w:sz w:val="18"/>
                <w:szCs w:val="18"/>
              </w:rPr>
              <w:t>AFSA</w:t>
            </w:r>
            <w:r w:rsidR="00F155CF">
              <w:rPr>
                <w:sz w:val="18"/>
                <w:szCs w:val="18"/>
              </w:rPr>
              <w:t xml:space="preserve">; </w:t>
            </w:r>
            <w:r w:rsidR="00F155CF" w:rsidRPr="008E426F">
              <w:rPr>
                <w:sz w:val="18"/>
                <w:szCs w:val="18"/>
              </w:rPr>
              <w:t>Late</w:t>
            </w:r>
            <w:r w:rsidR="00F155CF" w:rsidRPr="008E426F">
              <w:rPr>
                <w:i/>
                <w:sz w:val="18"/>
                <w:szCs w:val="18"/>
              </w:rPr>
              <w:t xml:space="preserve"> Comment (SACA)</w:t>
            </w:r>
          </w:p>
        </w:tc>
        <w:tc>
          <w:tcPr>
            <w:tcW w:w="8931" w:type="dxa"/>
            <w:shd w:val="clear" w:color="auto" w:fill="auto"/>
          </w:tcPr>
          <w:p w14:paraId="22B53AEF" w14:textId="0AE69DAC" w:rsidR="006D76EE" w:rsidRPr="00D47073" w:rsidRDefault="006D76EE" w:rsidP="006D76EE">
            <w:pPr>
              <w:pStyle w:val="ListParagraph"/>
              <w:autoSpaceDE w:val="0"/>
              <w:autoSpaceDN w:val="0"/>
              <w:adjustRightInd w:val="0"/>
              <w:ind w:left="176" w:hanging="176"/>
              <w:rPr>
                <w:sz w:val="18"/>
                <w:szCs w:val="18"/>
              </w:rPr>
            </w:pPr>
            <w:r w:rsidRPr="00D47073">
              <w:rPr>
                <w:sz w:val="18"/>
                <w:szCs w:val="18"/>
              </w:rPr>
              <w:t xml:space="preserve">Many concerns regarding the safety of GM foods can be traced back to a handful of studies reporting adverse effects in animals. A </w:t>
            </w:r>
            <w:hyperlink r:id="rId23" w:history="1">
              <w:r w:rsidRPr="002666C8">
                <w:rPr>
                  <w:rStyle w:val="Hyperlink"/>
                  <w:sz w:val="18"/>
                  <w:szCs w:val="18"/>
                </w:rPr>
                <w:t>response by FSANZ</w:t>
              </w:r>
            </w:hyperlink>
            <w:r w:rsidRPr="00D47073">
              <w:rPr>
                <w:rStyle w:val="FootnoteReference"/>
                <w:sz w:val="18"/>
                <w:szCs w:val="18"/>
              </w:rPr>
              <w:footnoteReference w:id="15"/>
            </w:r>
            <w:r w:rsidRPr="00D47073">
              <w:rPr>
                <w:sz w:val="18"/>
                <w:szCs w:val="18"/>
              </w:rPr>
              <w:t xml:space="preserve"> to some of these studies is available on our website. Further analyses of some of the other studies can be found in Snell et al (2012), Ricroch (2013) and Ricroch </w:t>
            </w:r>
            <w:r w:rsidRPr="00FA4E61">
              <w:rPr>
                <w:sz w:val="18"/>
                <w:szCs w:val="18"/>
              </w:rPr>
              <w:t>et al</w:t>
            </w:r>
            <w:r w:rsidRPr="00D47073">
              <w:rPr>
                <w:sz w:val="18"/>
                <w:szCs w:val="18"/>
              </w:rPr>
              <w:t xml:space="preserve"> (2014).</w:t>
            </w:r>
          </w:p>
          <w:p w14:paraId="1DA2A297" w14:textId="77777777" w:rsidR="006D76EE" w:rsidRPr="00D47073" w:rsidRDefault="006D76EE" w:rsidP="006D76EE">
            <w:pPr>
              <w:widowControl/>
              <w:autoSpaceDE w:val="0"/>
              <w:autoSpaceDN w:val="0"/>
              <w:adjustRightInd w:val="0"/>
              <w:spacing w:before="60"/>
              <w:rPr>
                <w:sz w:val="18"/>
                <w:szCs w:val="18"/>
              </w:rPr>
            </w:pPr>
          </w:p>
          <w:p w14:paraId="70D6B2A7" w14:textId="0ED2F9B9" w:rsidR="00F155CF" w:rsidRPr="00D47073" w:rsidRDefault="00FA4E61" w:rsidP="006D76EE">
            <w:pPr>
              <w:pStyle w:val="ListParagraph"/>
              <w:autoSpaceDE w:val="0"/>
              <w:autoSpaceDN w:val="0"/>
              <w:adjustRightInd w:val="0"/>
              <w:spacing w:after="240"/>
              <w:ind w:left="176" w:hanging="176"/>
              <w:rPr>
                <w:sz w:val="18"/>
                <w:szCs w:val="18"/>
              </w:rPr>
            </w:pPr>
            <w:r>
              <w:rPr>
                <w:sz w:val="18"/>
                <w:szCs w:val="18"/>
              </w:rPr>
              <w:t xml:space="preserve">Before GM foods are allowed in the food supply, </w:t>
            </w:r>
            <w:r w:rsidR="006D76EE" w:rsidRPr="00D47073">
              <w:rPr>
                <w:sz w:val="18"/>
                <w:szCs w:val="18"/>
              </w:rPr>
              <w:t xml:space="preserve">FSANZ conducts a thorough safety assessment. This </w:t>
            </w:r>
            <w:r>
              <w:rPr>
                <w:sz w:val="18"/>
                <w:szCs w:val="18"/>
              </w:rPr>
              <w:t xml:space="preserve">safety </w:t>
            </w:r>
            <w:r w:rsidR="006D76EE" w:rsidRPr="00D47073">
              <w:rPr>
                <w:sz w:val="18"/>
                <w:szCs w:val="18"/>
              </w:rPr>
              <w:t xml:space="preserve">assessment ensures that any approved GM foods are as safe and nutritious as comparable non-GM foods already in the Australian and New Zealand food supply. Further information can be found on the </w:t>
            </w:r>
            <w:hyperlink r:id="rId24" w:history="1">
              <w:r w:rsidR="006D76EE" w:rsidRPr="00FA4E61">
                <w:rPr>
                  <w:rStyle w:val="Hyperlink"/>
                  <w:sz w:val="18"/>
                  <w:szCs w:val="18"/>
                </w:rPr>
                <w:t>FSANZ webpage</w:t>
              </w:r>
            </w:hyperlink>
            <w:r w:rsidR="006D76EE" w:rsidRPr="00D47073">
              <w:rPr>
                <w:rStyle w:val="FootnoteReference"/>
                <w:sz w:val="18"/>
                <w:szCs w:val="18"/>
              </w:rPr>
              <w:footnoteReference w:id="16"/>
            </w:r>
            <w:r w:rsidR="006D76EE" w:rsidRPr="00D47073">
              <w:rPr>
                <w:sz w:val="18"/>
                <w:szCs w:val="18"/>
              </w:rPr>
              <w:t>.</w:t>
            </w:r>
          </w:p>
          <w:p w14:paraId="3E5D642F" w14:textId="77777777" w:rsidR="006D76EE" w:rsidRPr="006D76EE" w:rsidRDefault="006D76EE" w:rsidP="006D76EE">
            <w:pPr>
              <w:pStyle w:val="ListParagraph"/>
              <w:autoSpaceDE w:val="0"/>
              <w:autoSpaceDN w:val="0"/>
              <w:adjustRightInd w:val="0"/>
              <w:spacing w:after="240"/>
              <w:ind w:left="176" w:hanging="176"/>
              <w:rPr>
                <w:sz w:val="20"/>
                <w:szCs w:val="20"/>
              </w:rPr>
            </w:pPr>
          </w:p>
          <w:p w14:paraId="3651E49E" w14:textId="5B679464" w:rsidR="00F155CF" w:rsidRDefault="00F155CF" w:rsidP="00F155CF">
            <w:pPr>
              <w:pStyle w:val="ListParagraph"/>
              <w:autoSpaceDE w:val="0"/>
              <w:autoSpaceDN w:val="0"/>
              <w:adjustRightInd w:val="0"/>
              <w:spacing w:after="240"/>
              <w:ind w:left="176" w:hanging="176"/>
              <w:rPr>
                <w:sz w:val="20"/>
                <w:szCs w:val="20"/>
              </w:rPr>
            </w:pPr>
            <w:r w:rsidRPr="005E69D1">
              <w:rPr>
                <w:rFonts w:cs="Arial"/>
                <w:color w:val="000000" w:themeColor="text1"/>
                <w:sz w:val="18"/>
                <w:szCs w:val="18"/>
              </w:rPr>
              <w:t xml:space="preserve">The claim linking Cry1Ab protein in blood to GM food </w:t>
            </w:r>
            <w:r>
              <w:rPr>
                <w:rFonts w:cs="Arial"/>
                <w:color w:val="000000" w:themeColor="text1"/>
                <w:sz w:val="18"/>
                <w:szCs w:val="18"/>
              </w:rPr>
              <w:t>is one that is continually circulated online.</w:t>
            </w:r>
            <w:r w:rsidRPr="005E69D1">
              <w:rPr>
                <w:rFonts w:cs="Arial"/>
                <w:color w:val="000000" w:themeColor="text1"/>
                <w:sz w:val="18"/>
                <w:szCs w:val="18"/>
              </w:rPr>
              <w:t xml:space="preserve"> FSANZ has considered </w:t>
            </w:r>
            <w:r>
              <w:rPr>
                <w:rFonts w:cs="Arial"/>
                <w:color w:val="000000" w:themeColor="text1"/>
                <w:sz w:val="18"/>
                <w:szCs w:val="18"/>
              </w:rPr>
              <w:t xml:space="preserve">in detail the 2011 study which is </w:t>
            </w:r>
            <w:r w:rsidRPr="005E69D1">
              <w:rPr>
                <w:rFonts w:cs="Arial"/>
                <w:color w:val="000000" w:themeColor="text1"/>
                <w:sz w:val="18"/>
                <w:szCs w:val="18"/>
              </w:rPr>
              <w:t>the</w:t>
            </w:r>
            <w:r>
              <w:rPr>
                <w:rFonts w:cs="Arial"/>
                <w:color w:val="000000" w:themeColor="text1"/>
                <w:sz w:val="18"/>
                <w:szCs w:val="18"/>
              </w:rPr>
              <w:t xml:space="preserve"> origin of this claim</w:t>
            </w:r>
            <w:r w:rsidRPr="005E69D1">
              <w:rPr>
                <w:rFonts w:cs="Arial"/>
                <w:color w:val="000000" w:themeColor="text1"/>
                <w:sz w:val="18"/>
                <w:szCs w:val="18"/>
              </w:rPr>
              <w:t xml:space="preserve"> and a </w:t>
            </w:r>
            <w:r>
              <w:rPr>
                <w:rFonts w:cs="Arial"/>
                <w:color w:val="000000" w:themeColor="text1"/>
                <w:sz w:val="18"/>
                <w:szCs w:val="18"/>
              </w:rPr>
              <w:t>response</w:t>
            </w:r>
            <w:r w:rsidRPr="005E69D1">
              <w:rPr>
                <w:rFonts w:cs="Arial"/>
                <w:color w:val="000000" w:themeColor="text1"/>
                <w:sz w:val="18"/>
                <w:szCs w:val="18"/>
              </w:rPr>
              <w:t xml:space="preserve"> is available on the </w:t>
            </w:r>
            <w:hyperlink r:id="rId25" w:history="1">
              <w:r w:rsidRPr="005E69D1">
                <w:rPr>
                  <w:rStyle w:val="Hyperlink"/>
                  <w:rFonts w:cs="Arial"/>
                  <w:sz w:val="18"/>
                  <w:szCs w:val="18"/>
                </w:rPr>
                <w:t>FSANZ website</w:t>
              </w:r>
            </w:hyperlink>
            <w:r>
              <w:rPr>
                <w:rStyle w:val="FootnoteReference"/>
                <w:rFonts w:cs="Arial"/>
                <w:color w:val="000000" w:themeColor="text1"/>
                <w:sz w:val="18"/>
                <w:szCs w:val="18"/>
              </w:rPr>
              <w:footnoteReference w:id="17"/>
            </w:r>
            <w:r w:rsidRPr="005E69D1">
              <w:rPr>
                <w:rFonts w:cs="Arial"/>
                <w:color w:val="000000" w:themeColor="text1"/>
                <w:sz w:val="18"/>
                <w:szCs w:val="18"/>
              </w:rPr>
              <w:t>.</w:t>
            </w:r>
          </w:p>
        </w:tc>
      </w:tr>
    </w:tbl>
    <w:p w14:paraId="47E0ABEF" w14:textId="0C7007B7" w:rsidR="006073AC" w:rsidRDefault="006073AC" w:rsidP="007D3347">
      <w:pPr>
        <w:rPr>
          <w:color w:val="000000" w:themeColor="text1"/>
          <w:lang w:bidi="ar-SA"/>
        </w:rPr>
      </w:pPr>
    </w:p>
    <w:p w14:paraId="40E4A244" w14:textId="600F5CC3" w:rsidR="00010A1B" w:rsidRDefault="00010A1B" w:rsidP="007D3347">
      <w:pPr>
        <w:rPr>
          <w:color w:val="000000" w:themeColor="text1"/>
          <w:lang w:bidi="ar-SA"/>
        </w:rPr>
      </w:pPr>
    </w:p>
    <w:p w14:paraId="4866960E" w14:textId="77777777" w:rsidR="00010A1B" w:rsidRDefault="00010A1B" w:rsidP="007D3347">
      <w:pPr>
        <w:rPr>
          <w:color w:val="000000" w:themeColor="text1"/>
          <w:lang w:bidi="ar-SA"/>
        </w:rPr>
        <w:sectPr w:rsidR="00010A1B" w:rsidSect="00010A1B">
          <w:pgSz w:w="16838" w:h="11906" w:orient="landscape"/>
          <w:pgMar w:top="1418" w:right="1135" w:bottom="1418" w:left="1134" w:header="709" w:footer="709" w:gutter="0"/>
          <w:cols w:space="708"/>
          <w:docGrid w:linePitch="360"/>
        </w:sectPr>
      </w:pPr>
    </w:p>
    <w:p w14:paraId="688B208F" w14:textId="6E9A0FB9" w:rsidR="004F69F6" w:rsidRPr="00932F14" w:rsidRDefault="00D3171B" w:rsidP="004646F8">
      <w:pPr>
        <w:pStyle w:val="Heading2"/>
      </w:pPr>
      <w:bookmarkStart w:id="47" w:name="_Toc286391009"/>
      <w:bookmarkStart w:id="48" w:name="_Toc300933425"/>
      <w:bookmarkStart w:id="49" w:name="_Toc49174694"/>
      <w:bookmarkStart w:id="50" w:name="_Toc120358583"/>
      <w:bookmarkStart w:id="51" w:name="_Toc175381440"/>
      <w:r>
        <w:t>2</w:t>
      </w:r>
      <w:r w:rsidR="00271F00">
        <w:t>.</w:t>
      </w:r>
      <w:r w:rsidR="007D3347">
        <w:t>2</w:t>
      </w:r>
      <w:r w:rsidR="00271F00">
        <w:tab/>
      </w:r>
      <w:bookmarkEnd w:id="47"/>
      <w:bookmarkEnd w:id="48"/>
      <w:r w:rsidR="007D3347">
        <w:t>Safety assessment</w:t>
      </w:r>
      <w:bookmarkEnd w:id="49"/>
      <w:r w:rsidR="004F69F6" w:rsidRPr="00932F14">
        <w:t xml:space="preserve"> </w:t>
      </w:r>
      <w:bookmarkEnd w:id="50"/>
      <w:bookmarkEnd w:id="51"/>
    </w:p>
    <w:p w14:paraId="5CA195B5" w14:textId="4033EC92" w:rsidR="00ED059E" w:rsidRPr="00ED059E" w:rsidRDefault="00ED059E" w:rsidP="00ED0797">
      <w:pPr>
        <w:spacing w:after="240"/>
      </w:pPr>
      <w:bookmarkStart w:id="52" w:name="_Toc175381442"/>
      <w:bookmarkStart w:id="53" w:name="_Toc286391010"/>
      <w:bookmarkStart w:id="54" w:name="_Toc300933426"/>
      <w:r w:rsidRPr="00ED059E">
        <w:t xml:space="preserve">The safety assessment of </w:t>
      </w:r>
      <w:r w:rsidR="00EC3857">
        <w:t xml:space="preserve">potato </w:t>
      </w:r>
      <w:r w:rsidR="005147EB">
        <w:t>line</w:t>
      </w:r>
      <w:r w:rsidR="00EC3857">
        <w:t>s</w:t>
      </w:r>
      <w:r w:rsidR="005147EB">
        <w:t xml:space="preserve"> V11 and </w:t>
      </w:r>
      <w:r w:rsidRPr="00ED059E">
        <w:t>Z6 is provided in the supporting document (SD1). The process of assessment included the following key elements:</w:t>
      </w:r>
    </w:p>
    <w:p w14:paraId="3DF917AC" w14:textId="77777777" w:rsidR="00ED059E" w:rsidRPr="00ED059E" w:rsidRDefault="00ED059E" w:rsidP="00ED059E">
      <w:pPr>
        <w:pStyle w:val="FSBullet1"/>
        <w:numPr>
          <w:ilvl w:val="0"/>
          <w:numId w:val="9"/>
        </w:numPr>
        <w:ind w:left="567" w:hanging="567"/>
      </w:pPr>
      <w:r w:rsidRPr="00ED059E">
        <w:t>a characterisation of the transferred genetic material, its origin, function and stability in the potato genome</w:t>
      </w:r>
    </w:p>
    <w:p w14:paraId="180DEFF0" w14:textId="77777777" w:rsidR="00ED059E" w:rsidRPr="00ED059E" w:rsidRDefault="00ED059E" w:rsidP="00ED059E">
      <w:pPr>
        <w:pStyle w:val="FSBullet1"/>
        <w:numPr>
          <w:ilvl w:val="0"/>
          <w:numId w:val="9"/>
        </w:numPr>
        <w:ind w:left="567" w:hanging="567"/>
      </w:pPr>
      <w:r w:rsidRPr="00ED059E">
        <w:t>the changes at the level of DNA and RNA in the whole food</w:t>
      </w:r>
    </w:p>
    <w:p w14:paraId="69BA847B" w14:textId="263514AB" w:rsidR="00ED059E" w:rsidRPr="00ED059E" w:rsidRDefault="00ED059E" w:rsidP="00ED059E">
      <w:pPr>
        <w:pStyle w:val="FSBullet1"/>
        <w:numPr>
          <w:ilvl w:val="0"/>
          <w:numId w:val="9"/>
        </w:numPr>
        <w:ind w:left="567" w:hanging="567"/>
      </w:pPr>
      <w:r w:rsidRPr="00ED059E">
        <w:t xml:space="preserve">detailed compositional analyses </w:t>
      </w:r>
    </w:p>
    <w:p w14:paraId="4AF1DC26" w14:textId="77777777" w:rsidR="00ED059E" w:rsidRDefault="00ED059E" w:rsidP="00ED059E">
      <w:pPr>
        <w:pStyle w:val="FSBullet1"/>
        <w:numPr>
          <w:ilvl w:val="0"/>
          <w:numId w:val="9"/>
        </w:numPr>
        <w:ind w:left="567" w:hanging="567"/>
      </w:pPr>
      <w:r w:rsidRPr="00ED059E">
        <w:t xml:space="preserve">evaluation of </w:t>
      </w:r>
      <w:r>
        <w:t>intended and unintended changes</w:t>
      </w:r>
    </w:p>
    <w:p w14:paraId="5AE311CD" w14:textId="4AAAF454" w:rsidR="00ED0797" w:rsidRPr="00ED0797" w:rsidRDefault="00ED059E" w:rsidP="00DD056D">
      <w:pPr>
        <w:pStyle w:val="FSBullet1"/>
        <w:numPr>
          <w:ilvl w:val="0"/>
          <w:numId w:val="9"/>
        </w:numPr>
        <w:ind w:left="567" w:hanging="567"/>
      </w:pPr>
      <w:r w:rsidRPr="00ED0797">
        <w:t>the potential for any newly expressed protein to be either allergenic or toxic in humans.</w:t>
      </w:r>
    </w:p>
    <w:p w14:paraId="503D025F" w14:textId="60DBA2E9" w:rsidR="00ED059E" w:rsidRPr="006C729F" w:rsidRDefault="00ED059E" w:rsidP="00DD056D">
      <w:pPr>
        <w:spacing w:before="240" w:after="240"/>
      </w:pPr>
      <w:r w:rsidRPr="00ED059E">
        <w:t xml:space="preserve">The </w:t>
      </w:r>
      <w:r w:rsidR="00681B2A">
        <w:t xml:space="preserve">safety </w:t>
      </w:r>
      <w:r w:rsidRPr="00ED059E">
        <w:t>assessment of the potato line</w:t>
      </w:r>
      <w:r>
        <w:t>s V11 and</w:t>
      </w:r>
      <w:r w:rsidRPr="00ED059E">
        <w:t xml:space="preserve"> Z6</w:t>
      </w:r>
      <w:r>
        <w:t xml:space="preserve"> </w:t>
      </w:r>
      <w:r w:rsidRPr="00ED059E">
        <w:t>was restricted to human food safety and nutritional issues. This assessment therefore does not address any risks to the environment that may occur as the result of growing GM plants used in food production, or any risks to animals that may consume feed derived from GM plants. Cultivation in Australia or New Zealand would require independent assessment and approval</w:t>
      </w:r>
      <w:r>
        <w:t>,</w:t>
      </w:r>
      <w:r w:rsidRPr="00ED059E">
        <w:t xml:space="preserve"> by the Office of the Gene Technology Regulator</w:t>
      </w:r>
      <w:r>
        <w:t xml:space="preserve"> (OGTR)</w:t>
      </w:r>
      <w:r w:rsidRPr="00ED059E">
        <w:t xml:space="preserve"> in Australia and by the Environmental Protection Authority </w:t>
      </w:r>
      <w:r>
        <w:t xml:space="preserve">(EPA) </w:t>
      </w:r>
      <w:r w:rsidRPr="00ED059E">
        <w:t xml:space="preserve">in </w:t>
      </w:r>
      <w:r w:rsidRPr="006C729F">
        <w:t xml:space="preserve">New </w:t>
      </w:r>
      <w:r w:rsidR="006C729F" w:rsidRPr="006C729F">
        <w:t>Zealand.</w:t>
      </w:r>
    </w:p>
    <w:p w14:paraId="06D5BBE8" w14:textId="3005B608" w:rsidR="00ED059E" w:rsidRPr="00ED059E" w:rsidRDefault="00ED059E" w:rsidP="00ED0797">
      <w:pPr>
        <w:spacing w:after="240"/>
        <w:rPr>
          <w:color w:val="FF0000"/>
        </w:rPr>
      </w:pPr>
      <w:r w:rsidRPr="00ED059E">
        <w:t xml:space="preserve">No potential public health and safety concerns have been identified. </w:t>
      </w:r>
    </w:p>
    <w:p w14:paraId="50966A5B" w14:textId="18217C3B" w:rsidR="00ED059E" w:rsidRPr="00ED059E" w:rsidRDefault="00ED059E" w:rsidP="00ED059E">
      <w:r w:rsidRPr="00ED059E">
        <w:t xml:space="preserve">Based on the data provided in the Application, and other available information, food derived from the potato lines V11 and Z6 is considered to be as safe for human consumption as food derived from </w:t>
      </w:r>
      <w:r w:rsidR="00D55028">
        <w:t>non-GM</w:t>
      </w:r>
      <w:r w:rsidR="00D55028" w:rsidRPr="00ED059E">
        <w:t xml:space="preserve"> </w:t>
      </w:r>
      <w:r w:rsidRPr="00ED059E">
        <w:t>potato cultivars.</w:t>
      </w:r>
    </w:p>
    <w:p w14:paraId="3B8BC4F5" w14:textId="14F109EE" w:rsidR="004F69F6" w:rsidRPr="00932F14" w:rsidRDefault="00D3171B" w:rsidP="004646F8">
      <w:pPr>
        <w:pStyle w:val="Heading2"/>
      </w:pPr>
      <w:bookmarkStart w:id="55" w:name="_Toc49174695"/>
      <w:r>
        <w:t>2</w:t>
      </w:r>
      <w:r w:rsidR="0045556F">
        <w:t>.</w:t>
      </w:r>
      <w:r w:rsidR="001E2FCD">
        <w:t>3</w:t>
      </w:r>
      <w:r w:rsidR="00271F00">
        <w:tab/>
      </w:r>
      <w:bookmarkEnd w:id="52"/>
      <w:bookmarkEnd w:id="53"/>
      <w:bookmarkEnd w:id="54"/>
      <w:r w:rsidR="0045556F">
        <w:t>R</w:t>
      </w:r>
      <w:r w:rsidR="00707E72">
        <w:t>isk m</w:t>
      </w:r>
      <w:r w:rsidR="008A35FB">
        <w:t>anagement</w:t>
      </w:r>
      <w:bookmarkEnd w:id="55"/>
    </w:p>
    <w:p w14:paraId="0610E024" w14:textId="2FF283C8" w:rsidR="0090348B" w:rsidRPr="000359C2" w:rsidRDefault="001E2FCD" w:rsidP="0090348B">
      <w:pPr>
        <w:pStyle w:val="Heading3"/>
      </w:pPr>
      <w:bookmarkStart w:id="56" w:name="_Toc500330645"/>
      <w:bookmarkStart w:id="57" w:name="_Toc33532549"/>
      <w:bookmarkStart w:id="58" w:name="_Toc33710877"/>
      <w:bookmarkStart w:id="59" w:name="_Toc49174696"/>
      <w:bookmarkStart w:id="60" w:name="_Toc300761910"/>
      <w:r>
        <w:t>2.3</w:t>
      </w:r>
      <w:r w:rsidR="0090348B" w:rsidRPr="000359C2">
        <w:t xml:space="preserve">.1 </w:t>
      </w:r>
      <w:r w:rsidR="0090348B" w:rsidRPr="000359C2">
        <w:tab/>
        <w:t>Labelling</w:t>
      </w:r>
      <w:bookmarkEnd w:id="56"/>
      <w:bookmarkEnd w:id="57"/>
      <w:bookmarkEnd w:id="58"/>
      <w:bookmarkEnd w:id="59"/>
    </w:p>
    <w:p w14:paraId="076BA1B4" w14:textId="133CC88F" w:rsidR="0099712F" w:rsidRPr="0099712F" w:rsidRDefault="0099712F" w:rsidP="0099712F">
      <w:pPr>
        <w:keepNext/>
        <w:spacing w:before="240" w:after="240"/>
        <w:ind w:left="851" w:hanging="851"/>
        <w:outlineLvl w:val="3"/>
        <w:rPr>
          <w:b/>
          <w:bCs/>
          <w:i/>
          <w:iCs/>
          <w:szCs w:val="22"/>
          <w:lang w:bidi="ar-SA"/>
        </w:rPr>
      </w:pPr>
      <w:bookmarkStart w:id="61" w:name="_Toc33532550"/>
      <w:bookmarkStart w:id="62" w:name="_Toc33710878"/>
      <w:r w:rsidRPr="0099712F">
        <w:rPr>
          <w:b/>
          <w:bCs/>
          <w:i/>
          <w:iCs/>
          <w:szCs w:val="22"/>
          <w:lang w:bidi="ar-SA"/>
        </w:rPr>
        <w:t>2.</w:t>
      </w:r>
      <w:r w:rsidR="001E2FCD">
        <w:rPr>
          <w:b/>
          <w:bCs/>
          <w:i/>
          <w:iCs/>
          <w:szCs w:val="22"/>
          <w:lang w:bidi="ar-SA"/>
        </w:rPr>
        <w:t>3</w:t>
      </w:r>
      <w:r w:rsidRPr="0099712F">
        <w:rPr>
          <w:b/>
          <w:bCs/>
          <w:i/>
          <w:iCs/>
          <w:szCs w:val="22"/>
          <w:lang w:bidi="ar-SA"/>
        </w:rPr>
        <w:t>.</w:t>
      </w:r>
      <w:r>
        <w:rPr>
          <w:b/>
          <w:bCs/>
          <w:i/>
          <w:iCs/>
          <w:szCs w:val="22"/>
          <w:lang w:bidi="ar-SA"/>
        </w:rPr>
        <w:t>1</w:t>
      </w:r>
      <w:r w:rsidRPr="0099712F">
        <w:rPr>
          <w:b/>
          <w:bCs/>
          <w:i/>
          <w:iCs/>
          <w:szCs w:val="22"/>
          <w:lang w:bidi="ar-SA"/>
        </w:rPr>
        <w:t>.1</w:t>
      </w:r>
      <w:r w:rsidRPr="0099712F">
        <w:rPr>
          <w:b/>
          <w:bCs/>
          <w:i/>
          <w:iCs/>
          <w:szCs w:val="22"/>
          <w:lang w:bidi="ar-SA"/>
        </w:rPr>
        <w:tab/>
        <w:t>Requirement to be labelled as ‘genetically modified’</w:t>
      </w:r>
    </w:p>
    <w:p w14:paraId="56F83627" w14:textId="35AD8A41" w:rsidR="00217703" w:rsidRDefault="00217703" w:rsidP="00217703">
      <w:r w:rsidRPr="000359C2">
        <w:t>In accordance with the labelling pro</w:t>
      </w:r>
      <w:r w:rsidR="00AE28A2">
        <w:t>visions in Standard 1.5.2 (see S</w:t>
      </w:r>
      <w:r w:rsidRPr="000359C2">
        <w:t xml:space="preserve">ection 1.3 of this Report), food derived from </w:t>
      </w:r>
      <w:r>
        <w:t>potato lines V11 and Z6 w</w:t>
      </w:r>
      <w:r w:rsidR="00037876">
        <w:t>ill</w:t>
      </w:r>
      <w:r w:rsidRPr="000359C2">
        <w:t xml:space="preserve"> be required to be labelled as ‘genetically modified’ if it</w:t>
      </w:r>
      <w:r>
        <w:t>:</w:t>
      </w:r>
    </w:p>
    <w:p w14:paraId="0B426870" w14:textId="77777777" w:rsidR="00217703" w:rsidRDefault="00217703" w:rsidP="00217703">
      <w:pPr>
        <w:pStyle w:val="FSBullet1"/>
      </w:pPr>
      <w:r w:rsidRPr="000359C2">
        <w:t>contains novel DNA or novel protein</w:t>
      </w:r>
      <w:r>
        <w:t>;</w:t>
      </w:r>
      <w:r w:rsidRPr="000359C2">
        <w:t xml:space="preserve"> or</w:t>
      </w:r>
    </w:p>
    <w:p w14:paraId="57A581A1" w14:textId="1BD2A051" w:rsidR="005A687C" w:rsidRPr="005A687C" w:rsidRDefault="00AE28A2" w:rsidP="005A687C">
      <w:pPr>
        <w:pStyle w:val="FSBullet1"/>
        <w:spacing w:after="240"/>
        <w:rPr>
          <w:color w:val="000000" w:themeColor="text1"/>
        </w:rPr>
      </w:pPr>
      <w:r>
        <w:t xml:space="preserve">is listed in </w:t>
      </w:r>
      <w:r w:rsidR="007B59A8">
        <w:t>section</w:t>
      </w:r>
      <w:r w:rsidR="007D130F">
        <w:t xml:space="preserve"> S26—3 </w:t>
      </w:r>
      <w:r w:rsidR="00217703" w:rsidRPr="000359C2">
        <w:t xml:space="preserve">of Schedule 26 (such food has altered characteristics). </w:t>
      </w:r>
    </w:p>
    <w:p w14:paraId="4D4240AC" w14:textId="4F2C4B1D" w:rsidR="0099712F" w:rsidRPr="005A687C" w:rsidRDefault="0099712F" w:rsidP="005A687C">
      <w:pPr>
        <w:spacing w:after="240"/>
        <w:rPr>
          <w:color w:val="000000" w:themeColor="text1"/>
        </w:rPr>
      </w:pPr>
      <w:r w:rsidRPr="005A687C">
        <w:rPr>
          <w:color w:val="000000" w:themeColor="text1"/>
        </w:rPr>
        <w:t xml:space="preserve">Cooked and processed products derived from </w:t>
      </w:r>
      <w:r w:rsidR="00EC3857">
        <w:rPr>
          <w:color w:val="000000" w:themeColor="text1"/>
        </w:rPr>
        <w:t xml:space="preserve">potato </w:t>
      </w:r>
      <w:r w:rsidRPr="005A687C">
        <w:rPr>
          <w:color w:val="000000" w:themeColor="text1"/>
        </w:rPr>
        <w:t xml:space="preserve">lines </w:t>
      </w:r>
      <w:r w:rsidR="00217703" w:rsidRPr="005A687C">
        <w:rPr>
          <w:color w:val="000000" w:themeColor="text1"/>
        </w:rPr>
        <w:t>V11 and Z6</w:t>
      </w:r>
      <w:r w:rsidRPr="005A687C">
        <w:rPr>
          <w:color w:val="000000" w:themeColor="text1"/>
        </w:rPr>
        <w:t xml:space="preserve"> (e.g. French fries, </w:t>
      </w:r>
      <w:r w:rsidR="007D130F" w:rsidRPr="005A687C">
        <w:rPr>
          <w:color w:val="000000" w:themeColor="text1"/>
        </w:rPr>
        <w:t>potato flour</w:t>
      </w:r>
      <w:r w:rsidRPr="005A687C">
        <w:rPr>
          <w:color w:val="000000" w:themeColor="text1"/>
        </w:rPr>
        <w:t xml:space="preserve">, </w:t>
      </w:r>
      <w:r w:rsidR="00A223DE" w:rsidRPr="005A687C">
        <w:rPr>
          <w:color w:val="000000" w:themeColor="text1"/>
        </w:rPr>
        <w:t xml:space="preserve">potato crisps, </w:t>
      </w:r>
      <w:r w:rsidRPr="005A687C">
        <w:rPr>
          <w:color w:val="000000" w:themeColor="text1"/>
        </w:rPr>
        <w:t>potato starch) w</w:t>
      </w:r>
      <w:r w:rsidR="00037876">
        <w:rPr>
          <w:color w:val="000000" w:themeColor="text1"/>
        </w:rPr>
        <w:t>ill</w:t>
      </w:r>
      <w:r w:rsidRPr="005A687C">
        <w:rPr>
          <w:color w:val="000000" w:themeColor="text1"/>
        </w:rPr>
        <w:t xml:space="preserve"> be expected to contain novel DNA and/or novel protein. If this is the case, the statement ‘genetically modified’ would need to be included on the label of the packaged food available for sale.</w:t>
      </w:r>
    </w:p>
    <w:p w14:paraId="345C8115" w14:textId="77777777" w:rsidR="001D1F82" w:rsidRDefault="001D1F82" w:rsidP="00ED0797">
      <w:pPr>
        <w:spacing w:after="240"/>
        <w:rPr>
          <w:color w:val="000000" w:themeColor="text1"/>
        </w:rPr>
      </w:pPr>
      <w:r w:rsidRPr="0099712F">
        <w:rPr>
          <w:color w:val="000000" w:themeColor="text1"/>
        </w:rPr>
        <w:t xml:space="preserve">Should approval be granted in the future for the cultivation and/or importation of potato lines </w:t>
      </w:r>
      <w:r>
        <w:rPr>
          <w:color w:val="000000" w:themeColor="text1"/>
        </w:rPr>
        <w:t>V11 and Z6</w:t>
      </w:r>
      <w:r w:rsidRPr="0099712F">
        <w:rPr>
          <w:color w:val="000000" w:themeColor="text1"/>
        </w:rPr>
        <w:t xml:space="preserve">, the sale of </w:t>
      </w:r>
      <w:r>
        <w:rPr>
          <w:color w:val="000000" w:themeColor="text1"/>
        </w:rPr>
        <w:t xml:space="preserve">packaged and </w:t>
      </w:r>
      <w:r w:rsidRPr="0099712F">
        <w:rPr>
          <w:color w:val="000000" w:themeColor="text1"/>
        </w:rPr>
        <w:t>unpackaged raw potatoes</w:t>
      </w:r>
      <w:r>
        <w:rPr>
          <w:color w:val="000000" w:themeColor="text1"/>
        </w:rPr>
        <w:t xml:space="preserve"> will trigger the relevant labelling requirements in the Code.</w:t>
      </w:r>
    </w:p>
    <w:p w14:paraId="776DF720" w14:textId="53A67828" w:rsidR="0099712F" w:rsidRPr="0099712F" w:rsidRDefault="0099712F" w:rsidP="00ED0797">
      <w:pPr>
        <w:spacing w:after="240"/>
        <w:rPr>
          <w:color w:val="000000" w:themeColor="text1"/>
        </w:rPr>
      </w:pPr>
      <w:r w:rsidRPr="0099712F">
        <w:rPr>
          <w:color w:val="000000" w:themeColor="text1"/>
        </w:rPr>
        <w:t>In accordance with the existing labelling provisions in Standard 1.5.2, labelling w</w:t>
      </w:r>
      <w:r w:rsidR="00037876">
        <w:rPr>
          <w:color w:val="000000" w:themeColor="text1"/>
        </w:rPr>
        <w:t>ill</w:t>
      </w:r>
      <w:r w:rsidRPr="0099712F">
        <w:rPr>
          <w:color w:val="000000" w:themeColor="text1"/>
        </w:rPr>
        <w:t xml:space="preserve"> not apply to highly processed products derived from </w:t>
      </w:r>
      <w:r w:rsidR="00EC3857" w:rsidRPr="0099712F">
        <w:rPr>
          <w:color w:val="000000" w:themeColor="text1"/>
        </w:rPr>
        <w:t xml:space="preserve">potato lines </w:t>
      </w:r>
      <w:r w:rsidR="00217703">
        <w:rPr>
          <w:color w:val="000000" w:themeColor="text1"/>
        </w:rPr>
        <w:t>V11 and Z6</w:t>
      </w:r>
      <w:r w:rsidRPr="0099712F">
        <w:rPr>
          <w:color w:val="000000" w:themeColor="text1"/>
        </w:rPr>
        <w:t xml:space="preserve"> such as alcohol, when novel DNA or novel protein is absent. The composition and characteristics of such highly refined products w</w:t>
      </w:r>
      <w:r w:rsidR="00037876">
        <w:rPr>
          <w:color w:val="000000" w:themeColor="text1"/>
        </w:rPr>
        <w:t>ill</w:t>
      </w:r>
      <w:r w:rsidRPr="0099712F">
        <w:rPr>
          <w:color w:val="000000" w:themeColor="text1"/>
        </w:rPr>
        <w:t xml:space="preserve"> be the same as those made from non-GM potato varieties.</w:t>
      </w:r>
    </w:p>
    <w:p w14:paraId="4FDAF2DE" w14:textId="24F1CD1E" w:rsidR="0099712F" w:rsidRPr="0099712F" w:rsidRDefault="0099712F" w:rsidP="0099712F">
      <w:pPr>
        <w:rPr>
          <w:color w:val="000000" w:themeColor="text1"/>
        </w:rPr>
      </w:pPr>
      <w:r w:rsidRPr="0099712F">
        <w:rPr>
          <w:color w:val="000000" w:themeColor="text1"/>
        </w:rPr>
        <w:t xml:space="preserve">In addition, </w:t>
      </w:r>
      <w:r w:rsidR="00F943E8">
        <w:rPr>
          <w:color w:val="000000" w:themeColor="text1"/>
        </w:rPr>
        <w:t xml:space="preserve">consistent with </w:t>
      </w:r>
      <w:r w:rsidR="00EC7C27">
        <w:rPr>
          <w:color w:val="000000" w:themeColor="text1"/>
        </w:rPr>
        <w:t>paragraph</w:t>
      </w:r>
      <w:r w:rsidR="00EC7C27" w:rsidRPr="0099712F">
        <w:rPr>
          <w:color w:val="000000" w:themeColor="text1"/>
        </w:rPr>
        <w:t xml:space="preserve"> </w:t>
      </w:r>
      <w:r w:rsidRPr="0099712F">
        <w:rPr>
          <w:color w:val="000000" w:themeColor="text1"/>
        </w:rPr>
        <w:t>1.5.2—4(1)</w:t>
      </w:r>
      <w:r w:rsidR="00F943E8">
        <w:rPr>
          <w:color w:val="000000" w:themeColor="text1"/>
        </w:rPr>
        <w:t>(e</w:t>
      </w:r>
      <w:r w:rsidRPr="0099712F">
        <w:rPr>
          <w:color w:val="000000" w:themeColor="text1"/>
        </w:rPr>
        <w:t>) the requirement to label food as ‘genetically modified’ w</w:t>
      </w:r>
      <w:r w:rsidR="00037876">
        <w:rPr>
          <w:color w:val="000000" w:themeColor="text1"/>
        </w:rPr>
        <w:t>ill</w:t>
      </w:r>
      <w:r w:rsidRPr="0099712F">
        <w:rPr>
          <w:color w:val="000000" w:themeColor="text1"/>
        </w:rPr>
        <w:t xml:space="preserve"> not apply to potato products prepared and sold </w:t>
      </w:r>
      <w:r w:rsidRPr="0099712F">
        <w:t xml:space="preserve">for immediate consumption </w:t>
      </w:r>
      <w:r w:rsidRPr="0099712F">
        <w:rPr>
          <w:color w:val="000000" w:themeColor="text1"/>
        </w:rPr>
        <w:t>through restaurants, take away outlets, caterers, or self-catering institutions.</w:t>
      </w:r>
    </w:p>
    <w:p w14:paraId="3BB9E7EF" w14:textId="5DE2CE98" w:rsidR="00724583" w:rsidRDefault="00724583" w:rsidP="0099712F">
      <w:pPr>
        <w:rPr>
          <w:color w:val="000000" w:themeColor="text1"/>
        </w:rPr>
      </w:pPr>
    </w:p>
    <w:p w14:paraId="732A8C33" w14:textId="523D40DC" w:rsidR="00724583" w:rsidRPr="00724583" w:rsidRDefault="00724583" w:rsidP="00724583">
      <w:r w:rsidRPr="00724583">
        <w:t xml:space="preserve">However, paragraph 1.2.1—15(f) of Standard 1.2.1 requires information relating to foods produced using gene technology to be on labelling for </w:t>
      </w:r>
      <w:r w:rsidR="00EC7C27">
        <w:t xml:space="preserve">packaged </w:t>
      </w:r>
      <w:r w:rsidRPr="00724583">
        <w:t xml:space="preserve">food sold to a caterer. Subsection 1.1.2—2(3) of Standard 1.1.2 defines ‘caterer’ to mean a person, establishment or institution (for example, a catering establishment, a restaurant, a canteen, a school, or a hospital) which handles or offers food for immediate consumption. Consequently, in relation to such food, a consumer may seek information about the food from the </w:t>
      </w:r>
      <w:r w:rsidR="00EC7C27">
        <w:t>caterer</w:t>
      </w:r>
      <w:r w:rsidR="00A85F6F">
        <w:t xml:space="preserve"> concerned</w:t>
      </w:r>
      <w:r w:rsidRPr="00724583">
        <w:t xml:space="preserve">. </w:t>
      </w:r>
    </w:p>
    <w:p w14:paraId="1DA4118E" w14:textId="049846FB" w:rsidR="0099712F" w:rsidRPr="0099712F" w:rsidRDefault="0099712F" w:rsidP="0099712F">
      <w:pPr>
        <w:keepNext/>
        <w:spacing w:before="240" w:after="240"/>
        <w:ind w:left="851" w:hanging="851"/>
        <w:outlineLvl w:val="3"/>
        <w:rPr>
          <w:b/>
          <w:bCs/>
          <w:i/>
          <w:iCs/>
          <w:szCs w:val="22"/>
          <w:lang w:bidi="ar-SA"/>
        </w:rPr>
      </w:pPr>
      <w:r w:rsidRPr="0099712F">
        <w:rPr>
          <w:b/>
          <w:bCs/>
          <w:i/>
          <w:iCs/>
          <w:szCs w:val="22"/>
          <w:lang w:bidi="ar-SA"/>
        </w:rPr>
        <w:t>2.</w:t>
      </w:r>
      <w:r w:rsidR="001E2FCD">
        <w:rPr>
          <w:b/>
          <w:bCs/>
          <w:i/>
          <w:iCs/>
          <w:szCs w:val="22"/>
          <w:lang w:bidi="ar-SA"/>
        </w:rPr>
        <w:t>3</w:t>
      </w:r>
      <w:r>
        <w:rPr>
          <w:b/>
          <w:bCs/>
          <w:i/>
          <w:iCs/>
          <w:szCs w:val="22"/>
          <w:lang w:bidi="ar-SA"/>
        </w:rPr>
        <w:t>.1.2</w:t>
      </w:r>
      <w:r w:rsidRPr="0099712F">
        <w:rPr>
          <w:b/>
          <w:bCs/>
          <w:i/>
          <w:iCs/>
          <w:szCs w:val="22"/>
          <w:lang w:bidi="ar-SA"/>
        </w:rPr>
        <w:tab/>
        <w:t>Need for additional labelling requirements</w:t>
      </w:r>
    </w:p>
    <w:p w14:paraId="1B6E8CCB" w14:textId="09F08E47" w:rsidR="0099712F" w:rsidRPr="0099712F" w:rsidRDefault="0099712F" w:rsidP="00ED0797">
      <w:pPr>
        <w:spacing w:after="240"/>
        <w:rPr>
          <w:lang w:val="en-US" w:bidi="ar-SA"/>
        </w:rPr>
      </w:pPr>
      <w:r w:rsidRPr="0099712F">
        <w:rPr>
          <w:lang w:val="en-US" w:bidi="ar-SA"/>
        </w:rPr>
        <w:t>FSANZ considers whether additional labelling about the nature of any altered characteristic is required to enable consumers to make informed choices. Additional labelling (i.e. in addition to the mandatory ‘genetically modified’ statement described above) may be required if the genetic modification has significantly altered the composition or nutritional qualities of the food compared to the existing counterpart food</w:t>
      </w:r>
      <w:r w:rsidR="00EC7C27">
        <w:rPr>
          <w:lang w:val="en-US" w:bidi="ar-SA"/>
        </w:rPr>
        <w:t xml:space="preserve"> (see</w:t>
      </w:r>
      <w:r w:rsidR="00C559F6">
        <w:rPr>
          <w:lang w:val="en-US" w:bidi="ar-SA"/>
        </w:rPr>
        <w:t>, for example,</w:t>
      </w:r>
      <w:r w:rsidR="00EC7C27">
        <w:rPr>
          <w:lang w:val="en-US" w:bidi="ar-SA"/>
        </w:rPr>
        <w:t xml:space="preserve"> subsection </w:t>
      </w:r>
      <w:r w:rsidR="00C559F6">
        <w:rPr>
          <w:lang w:val="en-US" w:bidi="ar-SA"/>
        </w:rPr>
        <w:t>S26—3(3) of Schedule 26)</w:t>
      </w:r>
      <w:r w:rsidRPr="0099712F">
        <w:rPr>
          <w:lang w:val="en-US" w:bidi="ar-SA"/>
        </w:rPr>
        <w:t>.</w:t>
      </w:r>
    </w:p>
    <w:p w14:paraId="7B1BF693" w14:textId="15B6D5FB" w:rsidR="0099712F" w:rsidRPr="0099712F" w:rsidRDefault="0099712F" w:rsidP="0099712F">
      <w:pPr>
        <w:rPr>
          <w:lang w:bidi="ar-SA"/>
        </w:rPr>
      </w:pPr>
      <w:r w:rsidRPr="0099712F">
        <w:rPr>
          <w:lang w:bidi="ar-SA"/>
        </w:rPr>
        <w:t xml:space="preserve">Given that potato lines </w:t>
      </w:r>
      <w:r w:rsidR="00217703">
        <w:rPr>
          <w:lang w:bidi="ar-SA"/>
        </w:rPr>
        <w:t>V11 and Z6</w:t>
      </w:r>
      <w:r w:rsidRPr="0099712F">
        <w:rPr>
          <w:lang w:bidi="ar-SA"/>
        </w:rPr>
        <w:t xml:space="preserve"> do not have </w:t>
      </w:r>
      <w:r w:rsidR="007D130F">
        <w:rPr>
          <w:lang w:bidi="ar-SA"/>
        </w:rPr>
        <w:t xml:space="preserve">significantly </w:t>
      </w:r>
      <w:r w:rsidRPr="0099712F">
        <w:rPr>
          <w:lang w:bidi="ar-SA"/>
        </w:rPr>
        <w:t>altered compositional or nutritional characteristics, FSANZ has determined that no additional mandatory labelling is needed.</w:t>
      </w:r>
    </w:p>
    <w:p w14:paraId="7ACF5365" w14:textId="2DD721FE" w:rsidR="0099712F" w:rsidRPr="0099712F" w:rsidRDefault="0099712F" w:rsidP="0099712F">
      <w:pPr>
        <w:keepNext/>
        <w:spacing w:before="240" w:after="240"/>
        <w:ind w:left="851" w:hanging="851"/>
        <w:outlineLvl w:val="3"/>
        <w:rPr>
          <w:b/>
          <w:bCs/>
          <w:i/>
          <w:iCs/>
          <w:szCs w:val="22"/>
          <w:lang w:bidi="ar-SA"/>
        </w:rPr>
      </w:pPr>
      <w:r w:rsidRPr="0099712F">
        <w:rPr>
          <w:b/>
          <w:bCs/>
          <w:i/>
          <w:iCs/>
          <w:szCs w:val="22"/>
          <w:lang w:bidi="ar-SA"/>
        </w:rPr>
        <w:t>2.</w:t>
      </w:r>
      <w:r w:rsidR="001E2FCD">
        <w:rPr>
          <w:b/>
          <w:bCs/>
          <w:i/>
          <w:iCs/>
          <w:szCs w:val="22"/>
          <w:lang w:bidi="ar-SA"/>
        </w:rPr>
        <w:t>3</w:t>
      </w:r>
      <w:r>
        <w:rPr>
          <w:b/>
          <w:bCs/>
          <w:i/>
          <w:iCs/>
          <w:szCs w:val="22"/>
          <w:lang w:bidi="ar-SA"/>
        </w:rPr>
        <w:t>.1.</w:t>
      </w:r>
      <w:r w:rsidRPr="0099712F">
        <w:rPr>
          <w:b/>
          <w:bCs/>
          <w:i/>
          <w:iCs/>
          <w:szCs w:val="22"/>
          <w:lang w:bidi="ar-SA"/>
        </w:rPr>
        <w:t>3</w:t>
      </w:r>
      <w:r w:rsidRPr="0099712F">
        <w:rPr>
          <w:b/>
          <w:bCs/>
          <w:i/>
          <w:iCs/>
          <w:szCs w:val="22"/>
          <w:lang w:bidi="ar-SA"/>
        </w:rPr>
        <w:tab/>
        <w:t xml:space="preserve">Voluntary representations made about food </w:t>
      </w:r>
    </w:p>
    <w:p w14:paraId="7EBF3C67" w14:textId="37546C1E" w:rsidR="0099712F" w:rsidRPr="0099712F" w:rsidRDefault="0099712F" w:rsidP="00ED0797">
      <w:pPr>
        <w:spacing w:after="240"/>
        <w:rPr>
          <w:rFonts w:cs="Arial"/>
          <w:color w:val="000000" w:themeColor="text1"/>
          <w:szCs w:val="22"/>
          <w:lang w:val="en"/>
        </w:rPr>
      </w:pPr>
      <w:r w:rsidRPr="0099712F">
        <w:rPr>
          <w:color w:val="000000" w:themeColor="text1"/>
        </w:rPr>
        <w:t xml:space="preserve">One of the stated purposes of the genetic modification in </w:t>
      </w:r>
      <w:r w:rsidR="00EC3857" w:rsidRPr="0099712F">
        <w:rPr>
          <w:color w:val="000000" w:themeColor="text1"/>
        </w:rPr>
        <w:t xml:space="preserve">potato lines </w:t>
      </w:r>
      <w:r w:rsidR="007D130F">
        <w:rPr>
          <w:color w:val="000000" w:themeColor="text1"/>
        </w:rPr>
        <w:t>V11 and Z6</w:t>
      </w:r>
      <w:r w:rsidRPr="0099712F">
        <w:rPr>
          <w:color w:val="000000" w:themeColor="text1"/>
        </w:rPr>
        <w:t xml:space="preserve"> </w:t>
      </w:r>
      <w:r w:rsidR="00B1044E">
        <w:rPr>
          <w:color w:val="000000" w:themeColor="text1"/>
        </w:rPr>
        <w:t>is</w:t>
      </w:r>
      <w:r w:rsidR="00B1044E" w:rsidRPr="0099712F">
        <w:rPr>
          <w:color w:val="000000" w:themeColor="text1"/>
        </w:rPr>
        <w:t xml:space="preserve"> </w:t>
      </w:r>
      <w:r w:rsidRPr="0099712F">
        <w:rPr>
          <w:color w:val="000000" w:themeColor="text1"/>
        </w:rPr>
        <w:t>to reduce the potential for forming acrylamide</w:t>
      </w:r>
      <w:r w:rsidR="00E17455">
        <w:rPr>
          <w:color w:val="000000" w:themeColor="text1"/>
        </w:rPr>
        <w:t>.</w:t>
      </w:r>
      <w:r w:rsidRPr="0099712F">
        <w:rPr>
          <w:color w:val="000000" w:themeColor="text1"/>
        </w:rPr>
        <w:t xml:space="preserve"> This chemical is not a component of the raw agricultural product and is produced only during</w:t>
      </w:r>
      <w:r w:rsidRPr="0099712F">
        <w:rPr>
          <w:rFonts w:cs="Arial"/>
          <w:color w:val="000000" w:themeColor="text1"/>
          <w:szCs w:val="22"/>
          <w:lang w:val="en"/>
        </w:rPr>
        <w:t xml:space="preserve"> high-temperature cooking processes, such as deep frying. </w:t>
      </w:r>
      <w:r w:rsidR="00857108">
        <w:rPr>
          <w:rFonts w:cs="Arial"/>
          <w:color w:val="000000" w:themeColor="text1"/>
          <w:szCs w:val="22"/>
          <w:lang w:val="en"/>
        </w:rPr>
        <w:t>FSANZ has issued guidance</w:t>
      </w:r>
      <w:r w:rsidR="00857108">
        <w:rPr>
          <w:rStyle w:val="FootnoteReference"/>
          <w:rFonts w:cs="Arial"/>
          <w:color w:val="000000" w:themeColor="text1"/>
          <w:szCs w:val="22"/>
          <w:lang w:val="en"/>
        </w:rPr>
        <w:footnoteReference w:id="18"/>
      </w:r>
      <w:r w:rsidR="00857108">
        <w:rPr>
          <w:rFonts w:cs="Arial"/>
          <w:color w:val="000000" w:themeColor="text1"/>
          <w:szCs w:val="22"/>
          <w:lang w:val="en"/>
        </w:rPr>
        <w:t xml:space="preserve"> that </w:t>
      </w:r>
      <w:r w:rsidR="00857108" w:rsidRPr="00A223DE">
        <w:rPr>
          <w:rFonts w:cs="Arial"/>
          <w:color w:val="000000" w:themeColor="text1"/>
          <w:szCs w:val="22"/>
          <w:lang w:val="en"/>
        </w:rPr>
        <w:t xml:space="preserve">lowering the acrylamide potential of </w:t>
      </w:r>
      <w:r w:rsidR="00857108">
        <w:rPr>
          <w:rFonts w:cs="Arial"/>
          <w:color w:val="000000" w:themeColor="text1"/>
          <w:szCs w:val="22"/>
          <w:lang w:val="en"/>
        </w:rPr>
        <w:t>food</w:t>
      </w:r>
      <w:r w:rsidR="00857108" w:rsidRPr="00A223DE">
        <w:rPr>
          <w:rFonts w:cs="Arial"/>
          <w:color w:val="000000" w:themeColor="text1"/>
          <w:szCs w:val="22"/>
          <w:lang w:val="en"/>
        </w:rPr>
        <w:t xml:space="preserve"> is important because acrylamide presents a potential health risk for consumers</w:t>
      </w:r>
      <w:r w:rsidR="00857108">
        <w:rPr>
          <w:rFonts w:cs="Arial"/>
          <w:color w:val="000000" w:themeColor="text1"/>
          <w:szCs w:val="22"/>
          <w:lang w:val="en"/>
        </w:rPr>
        <w:t>.</w:t>
      </w:r>
    </w:p>
    <w:p w14:paraId="24EF0E4E" w14:textId="4E18097B" w:rsidR="0099712F" w:rsidRPr="0099712F" w:rsidRDefault="0099712F" w:rsidP="0099712F">
      <w:pPr>
        <w:rPr>
          <w:lang w:bidi="ar-SA"/>
        </w:rPr>
      </w:pPr>
      <w:r w:rsidRPr="0099712F">
        <w:rPr>
          <w:rFonts w:cs="Arial"/>
          <w:color w:val="000000" w:themeColor="text1"/>
          <w:szCs w:val="22"/>
          <w:lang w:val="en"/>
        </w:rPr>
        <w:t xml:space="preserve">Voluntary representations made about a food derived from </w:t>
      </w:r>
      <w:r w:rsidR="00EC3857" w:rsidRPr="0099712F">
        <w:rPr>
          <w:color w:val="000000" w:themeColor="text1"/>
        </w:rPr>
        <w:t xml:space="preserve">potato lines </w:t>
      </w:r>
      <w:r w:rsidR="007D130F">
        <w:rPr>
          <w:rFonts w:cs="Arial"/>
          <w:color w:val="000000" w:themeColor="text1"/>
          <w:szCs w:val="22"/>
          <w:lang w:val="en"/>
        </w:rPr>
        <w:t>V11 and Z6</w:t>
      </w:r>
      <w:r w:rsidRPr="0099712F">
        <w:rPr>
          <w:rFonts w:cs="Arial"/>
          <w:color w:val="000000" w:themeColor="text1"/>
          <w:szCs w:val="22"/>
          <w:lang w:val="en"/>
        </w:rPr>
        <w:t xml:space="preserve"> (e.g. regarding the reduced acrylamide content of deep fried products) w</w:t>
      </w:r>
      <w:r w:rsidR="00037876">
        <w:rPr>
          <w:rFonts w:cs="Arial"/>
          <w:color w:val="000000" w:themeColor="text1"/>
          <w:szCs w:val="22"/>
          <w:lang w:val="en"/>
        </w:rPr>
        <w:t>ill</w:t>
      </w:r>
      <w:r w:rsidRPr="0099712F">
        <w:rPr>
          <w:rFonts w:cs="Arial"/>
          <w:color w:val="000000" w:themeColor="text1"/>
          <w:szCs w:val="22"/>
          <w:lang w:val="en"/>
        </w:rPr>
        <w:t xml:space="preserve"> be subject to consumer protection laws, which include requirements that any representations made must be truthful and not misleading or deceptive.</w:t>
      </w:r>
    </w:p>
    <w:p w14:paraId="02F4102C" w14:textId="5839C3EA" w:rsidR="00D3171B" w:rsidRDefault="001E2FCD" w:rsidP="0090348B">
      <w:pPr>
        <w:pStyle w:val="Heading3"/>
      </w:pPr>
      <w:bookmarkStart w:id="63" w:name="_Toc49174697"/>
      <w:r>
        <w:t>2.3</w:t>
      </w:r>
      <w:r w:rsidR="0090348B">
        <w:t>.2</w:t>
      </w:r>
      <w:r w:rsidR="0090348B" w:rsidRPr="000359C2">
        <w:t xml:space="preserve"> </w:t>
      </w:r>
      <w:r w:rsidR="0090348B" w:rsidRPr="000359C2">
        <w:tab/>
      </w:r>
      <w:r w:rsidR="0090348B">
        <w:t>Detection methodology</w:t>
      </w:r>
      <w:bookmarkEnd w:id="61"/>
      <w:bookmarkEnd w:id="62"/>
      <w:bookmarkEnd w:id="63"/>
    </w:p>
    <w:p w14:paraId="1EC61FD1" w14:textId="61C157F7" w:rsidR="00EE2E41" w:rsidRDefault="00EE2E41" w:rsidP="00ED0797">
      <w:pPr>
        <w:spacing w:after="240"/>
      </w:pPr>
      <w:bookmarkStart w:id="64" w:name="_Toc300933435"/>
      <w:r>
        <w:t>An Expert Advisory Group (EAG), involving laboratory personnel and representatives of the Australian and New Zealand jurisdictions was formed by the Food Regulation Standing Committee’s Implementation Sub-Committee</w:t>
      </w:r>
      <w:r>
        <w:rPr>
          <w:rStyle w:val="FootnoteReference"/>
        </w:rPr>
        <w:footnoteReference w:id="19"/>
      </w:r>
      <w:r>
        <w:t xml:space="preserve"> to identify and evaluate appropriate methods of analysis associated with all </w:t>
      </w:r>
      <w:r w:rsidR="00771655">
        <w:t>a</w:t>
      </w:r>
      <w:r>
        <w:t xml:space="preserve">pplications to FSANZ, including those </w:t>
      </w:r>
      <w:r w:rsidR="00771655">
        <w:t>a</w:t>
      </w:r>
      <w:r>
        <w:t xml:space="preserve">pplications for food produced using gene technology (GM </w:t>
      </w:r>
      <w:r w:rsidR="00771655">
        <w:t>a</w:t>
      </w:r>
      <w:r>
        <w:t>pplications).</w:t>
      </w:r>
    </w:p>
    <w:p w14:paraId="6977195E" w14:textId="377C2BF9" w:rsidR="00EE2E41" w:rsidRDefault="00EE2E41" w:rsidP="005A687C">
      <w:pPr>
        <w:spacing w:after="240"/>
      </w:pPr>
      <w:r>
        <w:t xml:space="preserve">The EAG indicated that for GM </w:t>
      </w:r>
      <w:r w:rsidR="00771655">
        <w:t>a</w:t>
      </w:r>
      <w:r>
        <w:t>pplications, the full DNA sequence of the insert and adjacent genomic DNA are sufficient data to be provided for analytical purposes. Using this information, any DNA analytical laboratory would have the capability to develop a PCR</w:t>
      </w:r>
      <w:r w:rsidR="00EB1D96">
        <w:noBreakHyphen/>
      </w:r>
      <w:r>
        <w:t>based detection method. This sequence information was sup</w:t>
      </w:r>
      <w:r w:rsidR="00BF1CDB">
        <w:t xml:space="preserve">plied by the </w:t>
      </w:r>
      <w:r w:rsidR="00771655">
        <w:t>a</w:t>
      </w:r>
      <w:r w:rsidR="00BF1CDB">
        <w:t>pplicant for A1199</w:t>
      </w:r>
      <w:r>
        <w:t>.</w:t>
      </w:r>
    </w:p>
    <w:p w14:paraId="681D1AB5" w14:textId="054716ED" w:rsidR="00E520FE" w:rsidRPr="00932F14" w:rsidRDefault="001E2FCD" w:rsidP="00E520FE">
      <w:pPr>
        <w:pStyle w:val="Heading2"/>
      </w:pPr>
      <w:bookmarkStart w:id="65" w:name="_Toc49174698"/>
      <w:r>
        <w:t>2.4</w:t>
      </w:r>
      <w:r w:rsidR="00E520FE">
        <w:tab/>
        <w:t>Risk communication</w:t>
      </w:r>
      <w:bookmarkEnd w:id="64"/>
      <w:bookmarkEnd w:id="65"/>
      <w:r w:rsidR="00E520FE">
        <w:t xml:space="preserve"> </w:t>
      </w:r>
    </w:p>
    <w:p w14:paraId="3F9690D6" w14:textId="75A6DC79" w:rsidR="00E520FE" w:rsidRPr="0090348B" w:rsidRDefault="001E2FCD" w:rsidP="00022DBC">
      <w:pPr>
        <w:pStyle w:val="Heading3"/>
        <w:rPr>
          <w:color w:val="auto"/>
        </w:rPr>
      </w:pPr>
      <w:bookmarkStart w:id="66" w:name="_Toc300933437"/>
      <w:bookmarkStart w:id="67" w:name="_Toc49174699"/>
      <w:bookmarkStart w:id="68" w:name="_Toc286391012"/>
      <w:r>
        <w:rPr>
          <w:color w:val="auto"/>
        </w:rPr>
        <w:t>2.4</w:t>
      </w:r>
      <w:r w:rsidR="00E520FE" w:rsidRPr="0090348B">
        <w:rPr>
          <w:color w:val="auto"/>
        </w:rPr>
        <w:t>.1</w:t>
      </w:r>
      <w:r w:rsidR="00E520FE" w:rsidRPr="0090348B">
        <w:rPr>
          <w:color w:val="auto"/>
        </w:rPr>
        <w:tab/>
        <w:t>Consultation</w:t>
      </w:r>
      <w:bookmarkEnd w:id="66"/>
      <w:bookmarkEnd w:id="67"/>
    </w:p>
    <w:p w14:paraId="4ED26237" w14:textId="77777777" w:rsidR="00AE28A2" w:rsidRPr="00786A39" w:rsidRDefault="00AE28A2" w:rsidP="00AE28A2">
      <w:pPr>
        <w:rPr>
          <w:szCs w:val="22"/>
        </w:rPr>
      </w:pPr>
      <w:bookmarkStart w:id="69" w:name="_Toc33532553"/>
      <w:bookmarkStart w:id="70" w:name="_Toc300761912"/>
      <w:bookmarkStart w:id="71" w:name="_Toc300933439"/>
      <w:bookmarkEnd w:id="68"/>
      <w:r w:rsidRPr="00A670A7">
        <w:rPr>
          <w:szCs w:val="22"/>
        </w:rPr>
        <w:t xml:space="preserve">Consultation is a key part of FSANZ’s </w:t>
      </w:r>
      <w:r>
        <w:rPr>
          <w:szCs w:val="22"/>
        </w:rPr>
        <w:t xml:space="preserve">standards development process. </w:t>
      </w:r>
      <w:r w:rsidRPr="00756A52">
        <w:rPr>
          <w:lang w:bidi="ar-SA"/>
        </w:rPr>
        <w:t xml:space="preserve">The process by which FSANZ considers standards matters is open, accountable, consultative and transparent. Public submissions are </w:t>
      </w:r>
      <w:r>
        <w:rPr>
          <w:lang w:bidi="ar-SA"/>
        </w:rPr>
        <w:t>requested</w:t>
      </w:r>
      <w:r w:rsidRPr="00756A52">
        <w:rPr>
          <w:lang w:bidi="ar-SA"/>
        </w:rPr>
        <w:t xml:space="preserve"> to obtain the views of interested parties on issues raised by the Application and the impacts of regulatory options.</w:t>
      </w:r>
    </w:p>
    <w:p w14:paraId="780EC90B" w14:textId="77777777" w:rsidR="00AE28A2" w:rsidRPr="00756A52" w:rsidRDefault="00AE28A2" w:rsidP="00AE28A2">
      <w:pPr>
        <w:widowControl/>
        <w:rPr>
          <w:szCs w:val="22"/>
        </w:rPr>
      </w:pPr>
    </w:p>
    <w:p w14:paraId="6A43AEDE" w14:textId="51475789" w:rsidR="00AE28A2" w:rsidRPr="00756A52" w:rsidRDefault="00AE28A2" w:rsidP="00AE28A2">
      <w:pPr>
        <w:rPr>
          <w:lang w:bidi="ar-SA"/>
        </w:rPr>
      </w:pPr>
      <w:r w:rsidRPr="00756A52">
        <w:rPr>
          <w:szCs w:val="22"/>
        </w:rPr>
        <w:t xml:space="preserve">Public submissions were invited on a draft variation which was released for public comment between </w:t>
      </w:r>
      <w:r>
        <w:rPr>
          <w:szCs w:val="22"/>
        </w:rPr>
        <w:t xml:space="preserve">22 May 2020 </w:t>
      </w:r>
      <w:r w:rsidRPr="00756A52">
        <w:rPr>
          <w:szCs w:val="22"/>
        </w:rPr>
        <w:t>and</w:t>
      </w:r>
      <w:r w:rsidRPr="000C6192">
        <w:rPr>
          <w:szCs w:val="22"/>
        </w:rPr>
        <w:t xml:space="preserve"> 9 </w:t>
      </w:r>
      <w:r>
        <w:rPr>
          <w:szCs w:val="22"/>
        </w:rPr>
        <w:t>July 2020</w:t>
      </w:r>
      <w:r w:rsidRPr="00756A52">
        <w:rPr>
          <w:szCs w:val="22"/>
        </w:rPr>
        <w:t xml:space="preserve">. </w:t>
      </w:r>
      <w:r w:rsidRPr="00756A52">
        <w:rPr>
          <w:lang w:bidi="ar-SA"/>
        </w:rPr>
        <w:t xml:space="preserve">The call for submissions was notified via the Notification Circular, media release and through FSANZ’s social media tools and the publication, Food Standards News. Subscribers and interested parties were also notified. </w:t>
      </w:r>
    </w:p>
    <w:p w14:paraId="41986EDD" w14:textId="77777777" w:rsidR="00AE28A2" w:rsidRPr="00756A52" w:rsidRDefault="00AE28A2" w:rsidP="00AE28A2">
      <w:pPr>
        <w:rPr>
          <w:lang w:bidi="ar-SA"/>
        </w:rPr>
      </w:pPr>
    </w:p>
    <w:p w14:paraId="0FE1E390" w14:textId="77777777" w:rsidR="00AE28A2" w:rsidRPr="00756A52" w:rsidRDefault="00AE28A2" w:rsidP="00AE28A2">
      <w:pPr>
        <w:rPr>
          <w:szCs w:val="22"/>
        </w:rPr>
      </w:pPr>
      <w:r w:rsidRPr="00183B79">
        <w:rPr>
          <w:szCs w:val="22"/>
        </w:rPr>
        <w:t xml:space="preserve">FSANZ acknowledges the time taken by individuals and organisations to make submissions on this Application. </w:t>
      </w:r>
      <w:r w:rsidRPr="00756A52">
        <w:rPr>
          <w:szCs w:val="22"/>
        </w:rPr>
        <w:t>Every submission on this Application was considered by the FSANZ Board. All comments are valued and contribute to the rigour of the safety assessment.</w:t>
      </w:r>
    </w:p>
    <w:p w14:paraId="67E3C588" w14:textId="77777777" w:rsidR="00AE28A2" w:rsidRPr="00756A52" w:rsidRDefault="00AE28A2" w:rsidP="00AE28A2">
      <w:pPr>
        <w:rPr>
          <w:lang w:bidi="ar-SA"/>
        </w:rPr>
      </w:pPr>
    </w:p>
    <w:p w14:paraId="281DD16B" w14:textId="5215971B" w:rsidR="00AE28A2" w:rsidRPr="00756A52" w:rsidRDefault="00AE28A2" w:rsidP="00AE28A2">
      <w:pPr>
        <w:rPr>
          <w:lang w:bidi="ar-SA"/>
        </w:rPr>
      </w:pPr>
      <w:r w:rsidRPr="00756A52">
        <w:rPr>
          <w:lang w:bidi="ar-SA"/>
        </w:rPr>
        <w:t xml:space="preserve">Documents relating to Application </w:t>
      </w:r>
      <w:r>
        <w:rPr>
          <w:lang w:bidi="ar-SA"/>
        </w:rPr>
        <w:t>A119</w:t>
      </w:r>
      <w:r w:rsidR="00280AE7">
        <w:rPr>
          <w:lang w:bidi="ar-SA"/>
        </w:rPr>
        <w:t>9</w:t>
      </w:r>
      <w:r w:rsidRPr="00756A52">
        <w:rPr>
          <w:lang w:bidi="ar-SA"/>
        </w:rPr>
        <w:t>, including submissions received, are available on the FSANZ website.</w:t>
      </w:r>
    </w:p>
    <w:p w14:paraId="71CA8CA3" w14:textId="06F16185" w:rsidR="00E520FE" w:rsidRDefault="001E2FCD" w:rsidP="00022DBC">
      <w:pPr>
        <w:pStyle w:val="Heading2"/>
      </w:pPr>
      <w:bookmarkStart w:id="72" w:name="_Toc49174700"/>
      <w:bookmarkEnd w:id="69"/>
      <w:bookmarkEnd w:id="70"/>
      <w:bookmarkEnd w:id="71"/>
      <w:r>
        <w:t>2.5</w:t>
      </w:r>
      <w:r w:rsidR="00022DBC">
        <w:tab/>
        <w:t>FSANZ Act assessment requirements</w:t>
      </w:r>
      <w:bookmarkEnd w:id="72"/>
    </w:p>
    <w:p w14:paraId="45278F56" w14:textId="33A91177" w:rsidR="00974BA2" w:rsidRDefault="00974BA2" w:rsidP="00974BA2">
      <w:r>
        <w:t xml:space="preserve">When assessing this </w:t>
      </w:r>
      <w:r w:rsidR="005102C5">
        <w:t xml:space="preserve">Application </w:t>
      </w:r>
      <w:r>
        <w:t xml:space="preserve">and the subsequent development of a food regulatory measure, FSANZ has had regard to the following matters </w:t>
      </w:r>
      <w:r w:rsidR="00AE28A2">
        <w:t xml:space="preserve">in </w:t>
      </w:r>
      <w:r w:rsidR="007B59A8">
        <w:t>section</w:t>
      </w:r>
      <w:r>
        <w:t xml:space="preserve"> 29 of the FSANZ Act.</w:t>
      </w:r>
    </w:p>
    <w:p w14:paraId="59E2EFA7" w14:textId="155581F3" w:rsidR="00726C2F" w:rsidRPr="00974BA2" w:rsidRDefault="001E2FCD" w:rsidP="00726C2F">
      <w:pPr>
        <w:pStyle w:val="Heading3"/>
        <w:rPr>
          <w:color w:val="auto"/>
        </w:rPr>
      </w:pPr>
      <w:bookmarkStart w:id="73" w:name="_Toc49174701"/>
      <w:r>
        <w:t>2.5</w:t>
      </w:r>
      <w:r w:rsidR="00726C2F">
        <w:t>.1</w:t>
      </w:r>
      <w:r w:rsidR="00726C2F">
        <w:tab/>
      </w:r>
      <w:r w:rsidR="00726C2F" w:rsidRPr="00974BA2">
        <w:rPr>
          <w:color w:val="auto"/>
        </w:rPr>
        <w:t>Section 29</w:t>
      </w:r>
      <w:bookmarkEnd w:id="73"/>
    </w:p>
    <w:p w14:paraId="7210C650" w14:textId="3A64E97C" w:rsidR="00726C2F" w:rsidRDefault="001E2FCD" w:rsidP="00726C2F">
      <w:pPr>
        <w:pStyle w:val="Heading4"/>
      </w:pPr>
      <w:r>
        <w:t>2.5</w:t>
      </w:r>
      <w:r w:rsidR="00195254">
        <w:t>.1.1</w:t>
      </w:r>
      <w:r w:rsidR="00195254">
        <w:tab/>
        <w:t>Co</w:t>
      </w:r>
      <w:r w:rsidR="00195254">
        <w:rPr>
          <w:lang w:val="en-AU"/>
        </w:rPr>
        <w:t>nsideration of costs and benefits</w:t>
      </w:r>
    </w:p>
    <w:p w14:paraId="447AC323" w14:textId="77777777" w:rsidR="008F59A7" w:rsidRDefault="008F59A7" w:rsidP="00ED0797">
      <w:pPr>
        <w:spacing w:after="240"/>
        <w:rPr>
          <w:rFonts w:asciiTheme="minorHAnsi" w:hAnsiTheme="minorHAnsi"/>
          <w:szCs w:val="22"/>
          <w:lang w:bidi="ar-SA"/>
        </w:rPr>
      </w:pPr>
      <w:r w:rsidRPr="00983D78">
        <w:t xml:space="preserve">The Office of Best Practice Regulation (OBPR) granted FSANZ a standing exemption from the requirement to develop a Regulatory Impact Statement for permitting new GM foods (OBPR correspondence dated 24 November 2010, reference 12065). This standing exemption was provided as varying Schedule 26 is a consequential change of maintaining a permitted schedule of GM foods. Additionally, permitting new GM foods is deregulatory as using the GM technology will be voluntary if the </w:t>
      </w:r>
      <w:r w:rsidR="00771655">
        <w:t>a</w:t>
      </w:r>
      <w:r w:rsidRPr="00983D78">
        <w:t xml:space="preserve">pplication is approved. This standing exemption relates to the introduction of a food to the food supply that has been determined to be safe. </w:t>
      </w:r>
    </w:p>
    <w:p w14:paraId="349CFD91" w14:textId="77777777" w:rsidR="008F59A7" w:rsidRDefault="008F59A7" w:rsidP="00983D78">
      <w:r>
        <w:t xml:space="preserve">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05B87414" w14:textId="77777777" w:rsidR="008F59A7" w:rsidRDefault="008F59A7" w:rsidP="00983D78"/>
    <w:p w14:paraId="1049D2EC" w14:textId="112C58A1" w:rsidR="008F59A7" w:rsidRDefault="008F59A7" w:rsidP="00983D78">
      <w:r>
        <w:t xml:space="preserve">The purpose of this consideration is to determine if the community, government, and industry as a whole is likely to benefit, on balance, from a move from the status quo (where the status quo is </w:t>
      </w:r>
      <w:r w:rsidDel="00EF532A">
        <w:t xml:space="preserve">rejecting </w:t>
      </w:r>
      <w:r>
        <w:t xml:space="preserve">the application). This analysis considers permitting </w:t>
      </w:r>
      <w:r w:rsidR="004175CC">
        <w:t>the sale and use of food derived from potato lines V11 and Z6.</w:t>
      </w:r>
      <w:r w:rsidR="00612A2E">
        <w:t xml:space="preserve"> A consideration of costs and benefits was included in the call for submissions (CFS) report based on the information and data held at that time. No further information has been received in the consultation process to date that influenced the findings from the analysis of costs and benefits in the CFS.</w:t>
      </w:r>
    </w:p>
    <w:p w14:paraId="7B2D6F4A" w14:textId="77777777" w:rsidR="00612A2E" w:rsidRDefault="00612A2E" w:rsidP="00612A2E"/>
    <w:p w14:paraId="191355A2" w14:textId="2F2BDA6C" w:rsidR="00612A2E" w:rsidRDefault="00612A2E" w:rsidP="00612A2E">
      <w:pPr>
        <w:spacing w:after="240"/>
      </w:pPr>
      <w:r>
        <w:t xml:space="preserve">The consideration of the costs and benefits in this section is not intended to be an exhaustive, quantitative economic analysis of the proposed measures. In fact, most of the effects that were considered cannot easily be assigned a dollar value. Rather, the assessment seeks to highlight the likely positives and negatives of moving away from the status quo by permitting the sale and use of food derived from </w:t>
      </w:r>
      <w:r w:rsidR="005102C5">
        <w:t xml:space="preserve">potato lines </w:t>
      </w:r>
      <w:r>
        <w:t xml:space="preserve">V11 and Z6. </w:t>
      </w:r>
    </w:p>
    <w:p w14:paraId="15C8E31F" w14:textId="58492899" w:rsidR="00D16918" w:rsidRPr="00983D78" w:rsidRDefault="008F59A7" w:rsidP="00ED0797">
      <w:pPr>
        <w:spacing w:after="240"/>
      </w:pPr>
      <w:r w:rsidRPr="00014561">
        <w:rPr>
          <w:i/>
        </w:rPr>
        <w:t xml:space="preserve">Costs and benefits of permitting </w:t>
      </w:r>
      <w:r w:rsidR="00792562">
        <w:rPr>
          <w:i/>
        </w:rPr>
        <w:t xml:space="preserve">the sale and use of food derived from </w:t>
      </w:r>
      <w:r w:rsidR="005102C5" w:rsidRPr="005102C5">
        <w:rPr>
          <w:i/>
        </w:rPr>
        <w:t xml:space="preserve">potato lines </w:t>
      </w:r>
      <w:r w:rsidR="00792562">
        <w:rPr>
          <w:i/>
        </w:rPr>
        <w:t>V11 and Z6</w:t>
      </w:r>
    </w:p>
    <w:p w14:paraId="56BDE9BD" w14:textId="369F13F6" w:rsidR="008F59A7" w:rsidRPr="00983D78" w:rsidRDefault="00792562" w:rsidP="00ED0797">
      <w:pPr>
        <w:spacing w:after="240"/>
        <w:rPr>
          <w:szCs w:val="22"/>
        </w:rPr>
      </w:pPr>
      <w:r>
        <w:t>The sale of f</w:t>
      </w:r>
      <w:r w:rsidR="008F59A7">
        <w:t>oods</w:t>
      </w:r>
      <w:r w:rsidR="008F59A7" w:rsidDel="006158E7">
        <w:t xml:space="preserve"> </w:t>
      </w:r>
      <w:r w:rsidR="008F59A7">
        <w:t xml:space="preserve">derived from </w:t>
      </w:r>
      <w:r w:rsidR="005102C5">
        <w:t xml:space="preserve">potato lines </w:t>
      </w:r>
      <w:r>
        <w:t>V11 and Z6</w:t>
      </w:r>
      <w:r w:rsidR="008F59A7">
        <w:t xml:space="preserve"> would be permitted under the Code, allowing broader market access and increased choice in raw materials. For those food products containing novel DNA or novel protein from </w:t>
      </w:r>
      <w:r w:rsidR="00EC3857" w:rsidRPr="0099712F">
        <w:rPr>
          <w:color w:val="000000" w:themeColor="text1"/>
        </w:rPr>
        <w:t xml:space="preserve">potato lines </w:t>
      </w:r>
      <w:r>
        <w:t>V11 and Z6</w:t>
      </w:r>
      <w:r w:rsidR="008F59A7">
        <w:t xml:space="preserve">, labelling </w:t>
      </w:r>
      <w:r>
        <w:t>is required to assist</w:t>
      </w:r>
      <w:r w:rsidR="008F59A7">
        <w:t xml:space="preserve"> consumers wishing to avoid these products to do so.</w:t>
      </w:r>
    </w:p>
    <w:p w14:paraId="4EBCCA75" w14:textId="4AAC26C3" w:rsidR="008F59A7" w:rsidRDefault="008F59A7" w:rsidP="00ED0797">
      <w:pPr>
        <w:spacing w:after="240"/>
      </w:pPr>
      <w:r>
        <w:t xml:space="preserve">Due to the voluntary nature of the permission, manufacturers and retailers would only </w:t>
      </w:r>
      <w:r w:rsidR="005843B9">
        <w:t>utilise</w:t>
      </w:r>
      <w:r>
        <w:t xml:space="preserve"> foods </w:t>
      </w:r>
      <w:r w:rsidR="00436028">
        <w:t>derived from</w:t>
      </w:r>
      <w:r>
        <w:t xml:space="preserve"> </w:t>
      </w:r>
      <w:r w:rsidR="00EC3857" w:rsidRPr="0099712F">
        <w:rPr>
          <w:color w:val="000000" w:themeColor="text1"/>
        </w:rPr>
        <w:t xml:space="preserve">potato lines </w:t>
      </w:r>
      <w:r w:rsidR="00436028">
        <w:t>V11 and Z6</w:t>
      </w:r>
      <w:r>
        <w:t xml:space="preserve">, where they believe a net benefit exists for them. </w:t>
      </w:r>
      <w:r w:rsidR="0084480D">
        <w:t>C</w:t>
      </w:r>
      <w:r>
        <w:t xml:space="preserve">ost savings to industry may </w:t>
      </w:r>
      <w:r w:rsidR="0084480D">
        <w:t>put downward pressure on prices</w:t>
      </w:r>
      <w:r>
        <w:t>.</w:t>
      </w:r>
    </w:p>
    <w:p w14:paraId="63E099CB" w14:textId="455DCA0B" w:rsidR="0084480D" w:rsidRDefault="00612A2E" w:rsidP="00B14B9E">
      <w:r>
        <w:t xml:space="preserve">Permitting food derived from </w:t>
      </w:r>
      <w:r w:rsidR="00EC3857" w:rsidRPr="0099712F">
        <w:rPr>
          <w:color w:val="000000" w:themeColor="text1"/>
        </w:rPr>
        <w:t xml:space="preserve">potato lines </w:t>
      </w:r>
      <w:r>
        <w:t>V11 and Z6 may result in a small cost to government in terms of adding it to the current range of GM foods that are monitored for labellin</w:t>
      </w:r>
      <w:r w:rsidR="00B14B9E">
        <w:t>g compliance.</w:t>
      </w:r>
    </w:p>
    <w:p w14:paraId="382F38D3" w14:textId="77777777" w:rsidR="00B14B9E" w:rsidRDefault="00B14B9E" w:rsidP="00B14B9E"/>
    <w:p w14:paraId="5F65A8A6" w14:textId="77777777" w:rsidR="00D16918" w:rsidRPr="00D16918" w:rsidRDefault="008F59A7" w:rsidP="00ED0797">
      <w:pPr>
        <w:pStyle w:val="FSFigureTitle"/>
        <w:spacing w:after="240"/>
      </w:pPr>
      <w:r w:rsidRPr="00983D78">
        <w:t>Conclusions from cost benefit considerations</w:t>
      </w:r>
    </w:p>
    <w:p w14:paraId="5A03E00A" w14:textId="5E3E652C" w:rsidR="00612A2E" w:rsidRDefault="008F59A7" w:rsidP="00612A2E">
      <w:r w:rsidRPr="00983D78">
        <w:t xml:space="preserve">FSANZ’s assessment is that the direct and indirect benefits that would arise from permitting </w:t>
      </w:r>
      <w:r w:rsidR="00436028">
        <w:t>the sale and use of food derived from potato lines V11 and Z6,</w:t>
      </w:r>
      <w:r>
        <w:t xml:space="preserve"> </w:t>
      </w:r>
      <w:r w:rsidRPr="00983D78">
        <w:t>most likely outweigh the associated costs.</w:t>
      </w:r>
    </w:p>
    <w:p w14:paraId="72FFCBA6" w14:textId="3E5301A7" w:rsidR="00726C2F" w:rsidRDefault="001E2FCD" w:rsidP="00726C2F">
      <w:pPr>
        <w:pStyle w:val="Heading4"/>
      </w:pPr>
      <w:r>
        <w:t>2.5</w:t>
      </w:r>
      <w:r w:rsidR="00726C2F">
        <w:t>.1.2</w:t>
      </w:r>
      <w:r w:rsidR="00726C2F">
        <w:tab/>
        <w:t>Other measures</w:t>
      </w:r>
    </w:p>
    <w:p w14:paraId="77AF61D8" w14:textId="6CEAECF0" w:rsidR="00D16918" w:rsidRPr="007B0365" w:rsidRDefault="00D16918" w:rsidP="00D16918">
      <w:pPr>
        <w:rPr>
          <w:color w:val="000000" w:themeColor="text1"/>
        </w:rPr>
      </w:pPr>
      <w:r>
        <w:t>There are no</w:t>
      </w:r>
      <w:r w:rsidRPr="007F7BF7">
        <w:t xml:space="preserve"> other measures </w:t>
      </w:r>
      <w:r>
        <w:t xml:space="preserve">(whether available to FSANZ or not) that </w:t>
      </w:r>
      <w:r w:rsidRPr="007F7BF7">
        <w:t>would</w:t>
      </w:r>
      <w:r>
        <w:t xml:space="preserve"> be more cost</w:t>
      </w:r>
      <w:r w:rsidR="00EB1D96">
        <w:noBreakHyphen/>
      </w:r>
      <w:r>
        <w:t xml:space="preserve">effective </w:t>
      </w:r>
      <w:r w:rsidRPr="00317CA0">
        <w:rPr>
          <w:color w:val="000000" w:themeColor="text1"/>
        </w:rPr>
        <w:t xml:space="preserve">than </w:t>
      </w:r>
      <w:r>
        <w:rPr>
          <w:color w:val="000000" w:themeColor="text1"/>
        </w:rPr>
        <w:t>varying Schedule 26 as a result of</w:t>
      </w:r>
      <w:r w:rsidRPr="00317CA0">
        <w:rPr>
          <w:color w:val="000000" w:themeColor="text1"/>
        </w:rPr>
        <w:t xml:space="preserve"> </w:t>
      </w:r>
      <w:r>
        <w:rPr>
          <w:color w:val="000000" w:themeColor="text1"/>
        </w:rPr>
        <w:t>Application</w:t>
      </w:r>
      <w:r w:rsidRPr="00317CA0">
        <w:rPr>
          <w:color w:val="000000" w:themeColor="text1"/>
        </w:rPr>
        <w:t xml:space="preserve"> </w:t>
      </w:r>
      <w:r>
        <w:rPr>
          <w:color w:val="000000" w:themeColor="text1"/>
        </w:rPr>
        <w:t>A1199</w:t>
      </w:r>
      <w:r w:rsidRPr="00317CA0">
        <w:rPr>
          <w:color w:val="000000" w:themeColor="text1"/>
        </w:rPr>
        <w:t>.</w:t>
      </w:r>
    </w:p>
    <w:p w14:paraId="2B8841A3" w14:textId="0EC3AAAC" w:rsidR="00726C2F" w:rsidRDefault="001E2FCD" w:rsidP="008B0075">
      <w:pPr>
        <w:pStyle w:val="Heading4"/>
      </w:pPr>
      <w:r>
        <w:t>2.5</w:t>
      </w:r>
      <w:r w:rsidR="008B0075">
        <w:t>.1.3</w:t>
      </w:r>
      <w:r w:rsidR="008B0075">
        <w:tab/>
        <w:t>A</w:t>
      </w:r>
      <w:r w:rsidR="00726C2F" w:rsidRPr="00914030">
        <w:t>ny relevant New Zealand standards</w:t>
      </w:r>
    </w:p>
    <w:p w14:paraId="1AD0DDC5" w14:textId="3BB91B5D" w:rsidR="00F60FF9" w:rsidRDefault="00F60FF9" w:rsidP="00F60FF9">
      <w:pPr>
        <w:rPr>
          <w:lang w:bidi="ar-SA"/>
        </w:rPr>
      </w:pPr>
      <w:r>
        <w:rPr>
          <w:lang w:bidi="ar-SA"/>
        </w:rPr>
        <w:t>Standard 1.5.2 and Schedule 26 apply in both Australia and New Zealand. There are no relevant New Zealand</w:t>
      </w:r>
      <w:r w:rsidR="00EB1D96">
        <w:rPr>
          <w:lang w:bidi="ar-SA"/>
        </w:rPr>
        <w:t xml:space="preserve"> only</w:t>
      </w:r>
      <w:r>
        <w:rPr>
          <w:lang w:bidi="ar-SA"/>
        </w:rPr>
        <w:t xml:space="preserve"> Standards.</w:t>
      </w:r>
    </w:p>
    <w:p w14:paraId="41C6052B" w14:textId="54C295C1" w:rsidR="00726C2F" w:rsidRPr="00914030" w:rsidRDefault="001E2FCD" w:rsidP="00BE3818">
      <w:pPr>
        <w:pStyle w:val="Heading4"/>
      </w:pPr>
      <w:r>
        <w:t>2.5</w:t>
      </w:r>
      <w:r w:rsidR="00BE3818">
        <w:t>.1.4</w:t>
      </w:r>
      <w:r w:rsidR="00BE3818">
        <w:tab/>
      </w:r>
      <w:r w:rsidR="0027513D">
        <w:t>A</w:t>
      </w:r>
      <w:r w:rsidR="00BE3818">
        <w:t>ny other relevant matters</w:t>
      </w:r>
    </w:p>
    <w:p w14:paraId="79832940" w14:textId="0D8DDFFF" w:rsidR="00F60FF9" w:rsidRDefault="00F60FF9" w:rsidP="00A75CB6">
      <w:pPr>
        <w:spacing w:after="240"/>
        <w:rPr>
          <w:color w:val="000000" w:themeColor="text1"/>
        </w:rPr>
      </w:pPr>
      <w:bookmarkStart w:id="74" w:name="_Toc300761897"/>
      <w:bookmarkStart w:id="75" w:name="_Toc300933440"/>
      <w:r>
        <w:rPr>
          <w:color w:val="000000" w:themeColor="text1"/>
        </w:rPr>
        <w:t xml:space="preserve">The </w:t>
      </w:r>
      <w:r w:rsidR="005A687C">
        <w:rPr>
          <w:color w:val="000000" w:themeColor="text1"/>
        </w:rPr>
        <w:t>a</w:t>
      </w:r>
      <w:r>
        <w:rPr>
          <w:color w:val="000000" w:themeColor="text1"/>
        </w:rPr>
        <w:t xml:space="preserve">pplicant has submitted </w:t>
      </w:r>
      <w:r w:rsidR="00771655">
        <w:rPr>
          <w:color w:val="000000" w:themeColor="text1"/>
        </w:rPr>
        <w:t>a</w:t>
      </w:r>
      <w:r>
        <w:rPr>
          <w:color w:val="000000" w:themeColor="text1"/>
        </w:rPr>
        <w:t xml:space="preserve">pplications for regulatory approval of </w:t>
      </w:r>
      <w:r w:rsidR="00D91FEE">
        <w:rPr>
          <w:color w:val="000000" w:themeColor="text1"/>
        </w:rPr>
        <w:t xml:space="preserve">potato lines </w:t>
      </w:r>
      <w:r>
        <w:rPr>
          <w:color w:val="000000" w:themeColor="text1"/>
        </w:rPr>
        <w:t xml:space="preserve">V11 and Z6 to a number of other countries, as listed in </w:t>
      </w:r>
      <w:r w:rsidRPr="00280AE7">
        <w:t>Table 1.</w:t>
      </w:r>
    </w:p>
    <w:p w14:paraId="37D28778" w14:textId="55E0493F" w:rsidR="00F60FF9" w:rsidRDefault="00F60FF9" w:rsidP="00A75CB6">
      <w:pPr>
        <w:spacing w:after="240"/>
        <w:rPr>
          <w:color w:val="000000" w:themeColor="text1"/>
        </w:rPr>
      </w:pPr>
      <w:r>
        <w:rPr>
          <w:color w:val="000000" w:themeColor="text1"/>
        </w:rPr>
        <w:t xml:space="preserve">The </w:t>
      </w:r>
      <w:r w:rsidR="00771655">
        <w:rPr>
          <w:color w:val="000000" w:themeColor="text1"/>
        </w:rPr>
        <w:t>a</w:t>
      </w:r>
      <w:r>
        <w:rPr>
          <w:color w:val="000000" w:themeColor="text1"/>
        </w:rPr>
        <w:t xml:space="preserve">pplicant has stated </w:t>
      </w:r>
      <w:r w:rsidR="005A687C">
        <w:rPr>
          <w:color w:val="000000" w:themeColor="text1"/>
        </w:rPr>
        <w:t>it</w:t>
      </w:r>
      <w:r>
        <w:rPr>
          <w:color w:val="000000" w:themeColor="text1"/>
        </w:rPr>
        <w:t xml:space="preserve"> currently ha</w:t>
      </w:r>
      <w:r w:rsidR="00B937F3">
        <w:rPr>
          <w:color w:val="000000" w:themeColor="text1"/>
        </w:rPr>
        <w:t>s</w:t>
      </w:r>
      <w:r>
        <w:rPr>
          <w:color w:val="000000" w:themeColor="text1"/>
        </w:rPr>
        <w:t xml:space="preserve"> no intention to apply for approval to cultivate </w:t>
      </w:r>
      <w:r w:rsidR="00D91FEE">
        <w:rPr>
          <w:color w:val="000000" w:themeColor="text1"/>
        </w:rPr>
        <w:t xml:space="preserve">potato lines </w:t>
      </w:r>
      <w:r>
        <w:rPr>
          <w:color w:val="000000" w:themeColor="text1"/>
        </w:rPr>
        <w:t xml:space="preserve">V11 and Z6 in Australia </w:t>
      </w:r>
      <w:r w:rsidR="002644A4">
        <w:rPr>
          <w:color w:val="000000" w:themeColor="text1"/>
        </w:rPr>
        <w:t xml:space="preserve">or </w:t>
      </w:r>
      <w:r>
        <w:rPr>
          <w:color w:val="000000" w:themeColor="text1"/>
        </w:rPr>
        <w:t>New Zealand. Cultivation in Australia or New Zealand would require independent assessment and approval by the OGTR and NZ EPA, respectively.</w:t>
      </w:r>
    </w:p>
    <w:p w14:paraId="00FA75A0" w14:textId="6C7BA917" w:rsidR="00F60FF9" w:rsidRDefault="00F60FF9" w:rsidP="00F60FF9">
      <w:pPr>
        <w:rPr>
          <w:b/>
          <w:bCs/>
          <w:lang w:val="en-AU"/>
        </w:rPr>
      </w:pPr>
      <w:r w:rsidRPr="00280AE7">
        <w:rPr>
          <w:b/>
          <w:bCs/>
          <w:lang w:val="en-AU"/>
        </w:rPr>
        <w:t xml:space="preserve">Table 1: </w:t>
      </w:r>
      <w:r w:rsidR="00B0243E" w:rsidRPr="00280AE7">
        <w:rPr>
          <w:b/>
          <w:bCs/>
          <w:lang w:val="en-AU"/>
        </w:rPr>
        <w:t xml:space="preserve">Countries </w:t>
      </w:r>
      <w:r w:rsidR="00B0243E">
        <w:rPr>
          <w:b/>
          <w:bCs/>
          <w:lang w:val="en-AU"/>
        </w:rPr>
        <w:t>currently reviewing applications for V11 and Z6</w:t>
      </w:r>
    </w:p>
    <w:tbl>
      <w:tblPr>
        <w:tblStyle w:val="TableGrid"/>
        <w:tblpPr w:leftFromText="180" w:rightFromText="180" w:vertAnchor="text" w:tblpY="123"/>
        <w:tblW w:w="0" w:type="auto"/>
        <w:tblLook w:val="04A0" w:firstRow="1" w:lastRow="0" w:firstColumn="1" w:lastColumn="0" w:noHBand="0" w:noVBand="1"/>
        <w:tblCaption w:val="Table 1: "/>
        <w:tblDescription w:val="Countries currently reviewing applications for W8, X17, Y9, F10 and J3"/>
      </w:tblPr>
      <w:tblGrid>
        <w:gridCol w:w="1715"/>
        <w:gridCol w:w="1652"/>
        <w:gridCol w:w="2330"/>
        <w:gridCol w:w="1631"/>
        <w:gridCol w:w="1631"/>
      </w:tblGrid>
      <w:tr w:rsidR="003F7756" w14:paraId="5FD4D8B0" w14:textId="77777777" w:rsidTr="003F7756">
        <w:trPr>
          <w:trHeight w:val="782"/>
          <w:tblHeader/>
        </w:trPr>
        <w:tc>
          <w:tcPr>
            <w:tcW w:w="1715" w:type="dxa"/>
            <w:shd w:val="clear" w:color="auto" w:fill="9BBB59" w:themeFill="accent3"/>
            <w:vAlign w:val="center"/>
          </w:tcPr>
          <w:p w14:paraId="336A83CA" w14:textId="77777777" w:rsidR="003F7756" w:rsidRPr="00165FC8" w:rsidRDefault="003F7756" w:rsidP="003F7756">
            <w:pPr>
              <w:pStyle w:val="FSTableHeading"/>
              <w:rPr>
                <w:color w:val="FFFFFF" w:themeColor="background1"/>
              </w:rPr>
            </w:pPr>
            <w:r w:rsidRPr="00165FC8">
              <w:rPr>
                <w:color w:val="FFFFFF" w:themeColor="background1"/>
              </w:rPr>
              <w:t>Country</w:t>
            </w:r>
          </w:p>
        </w:tc>
        <w:tc>
          <w:tcPr>
            <w:tcW w:w="1652" w:type="dxa"/>
            <w:shd w:val="clear" w:color="auto" w:fill="9BBB59" w:themeFill="accent3"/>
            <w:vAlign w:val="center"/>
          </w:tcPr>
          <w:p w14:paraId="184EA36B" w14:textId="77777777" w:rsidR="003F7756" w:rsidRPr="00165FC8" w:rsidRDefault="003F7756" w:rsidP="003F7756">
            <w:pPr>
              <w:pStyle w:val="FSTableHeading"/>
              <w:rPr>
                <w:color w:val="FFFFFF" w:themeColor="background1"/>
              </w:rPr>
            </w:pPr>
            <w:r w:rsidRPr="00165FC8">
              <w:rPr>
                <w:color w:val="FFFFFF" w:themeColor="background1"/>
              </w:rPr>
              <w:t>Agency</w:t>
            </w:r>
          </w:p>
        </w:tc>
        <w:tc>
          <w:tcPr>
            <w:tcW w:w="2330" w:type="dxa"/>
            <w:shd w:val="clear" w:color="auto" w:fill="9BBB59" w:themeFill="accent3"/>
            <w:vAlign w:val="center"/>
          </w:tcPr>
          <w:p w14:paraId="1BDFFAD8" w14:textId="77777777" w:rsidR="003F7756" w:rsidRPr="00165FC8" w:rsidRDefault="003F7756" w:rsidP="003F7756">
            <w:pPr>
              <w:pStyle w:val="FSTableHeading"/>
              <w:rPr>
                <w:color w:val="FFFFFF" w:themeColor="background1"/>
              </w:rPr>
            </w:pPr>
            <w:r>
              <w:rPr>
                <w:bCs/>
                <w:color w:val="FFFFFF" w:themeColor="background1"/>
              </w:rPr>
              <w:t>Type of approval sought</w:t>
            </w:r>
          </w:p>
        </w:tc>
        <w:tc>
          <w:tcPr>
            <w:tcW w:w="1631" w:type="dxa"/>
            <w:shd w:val="clear" w:color="auto" w:fill="9BBB59" w:themeFill="accent3"/>
            <w:vAlign w:val="center"/>
          </w:tcPr>
          <w:p w14:paraId="7AA6E211" w14:textId="77777777" w:rsidR="003F7756" w:rsidRPr="00165FC8" w:rsidRDefault="003F7756" w:rsidP="003F7756">
            <w:pPr>
              <w:pStyle w:val="FSTableHeading"/>
              <w:rPr>
                <w:color w:val="FFFFFF" w:themeColor="background1"/>
              </w:rPr>
            </w:pPr>
            <w:r>
              <w:rPr>
                <w:color w:val="FFFFFF" w:themeColor="background1"/>
              </w:rPr>
              <w:t>V11</w:t>
            </w:r>
          </w:p>
        </w:tc>
        <w:tc>
          <w:tcPr>
            <w:tcW w:w="1631" w:type="dxa"/>
            <w:shd w:val="clear" w:color="auto" w:fill="9BBB59" w:themeFill="accent3"/>
            <w:vAlign w:val="center"/>
          </w:tcPr>
          <w:p w14:paraId="6F3BAFD1" w14:textId="77777777" w:rsidR="003F7756" w:rsidRPr="00165FC8" w:rsidRDefault="003F7756" w:rsidP="003F7756">
            <w:pPr>
              <w:pStyle w:val="FSTableHeading"/>
              <w:rPr>
                <w:color w:val="FFFFFF" w:themeColor="background1"/>
              </w:rPr>
            </w:pPr>
            <w:r>
              <w:rPr>
                <w:color w:val="FFFFFF" w:themeColor="background1"/>
              </w:rPr>
              <w:t>Z6</w:t>
            </w:r>
          </w:p>
        </w:tc>
      </w:tr>
      <w:tr w:rsidR="003F7756" w14:paraId="50DEE1BC" w14:textId="77777777" w:rsidTr="003F7756">
        <w:trPr>
          <w:trHeight w:val="326"/>
        </w:trPr>
        <w:tc>
          <w:tcPr>
            <w:tcW w:w="1715" w:type="dxa"/>
            <w:vMerge w:val="restart"/>
            <w:vAlign w:val="center"/>
          </w:tcPr>
          <w:p w14:paraId="0389CA35" w14:textId="77777777" w:rsidR="003F7756" w:rsidRPr="00120601" w:rsidRDefault="003F7756" w:rsidP="003F7756">
            <w:pPr>
              <w:pStyle w:val="FSTableText"/>
              <w:rPr>
                <w:sz w:val="16"/>
              </w:rPr>
            </w:pPr>
            <w:r w:rsidRPr="00120601">
              <w:rPr>
                <w:sz w:val="16"/>
              </w:rPr>
              <w:t>US</w:t>
            </w:r>
          </w:p>
        </w:tc>
        <w:tc>
          <w:tcPr>
            <w:tcW w:w="1652" w:type="dxa"/>
            <w:vAlign w:val="center"/>
          </w:tcPr>
          <w:p w14:paraId="581F06CE" w14:textId="77777777" w:rsidR="003F7756" w:rsidRPr="00120601" w:rsidRDefault="003F7756" w:rsidP="003F7756">
            <w:pPr>
              <w:pStyle w:val="FSTableText"/>
              <w:rPr>
                <w:sz w:val="16"/>
              </w:rPr>
            </w:pPr>
            <w:r w:rsidRPr="00120601">
              <w:rPr>
                <w:sz w:val="16"/>
              </w:rPr>
              <w:t>USDA</w:t>
            </w:r>
          </w:p>
        </w:tc>
        <w:tc>
          <w:tcPr>
            <w:tcW w:w="2330" w:type="dxa"/>
            <w:vMerge w:val="restart"/>
            <w:vAlign w:val="center"/>
          </w:tcPr>
          <w:p w14:paraId="3954E57A" w14:textId="77777777" w:rsidR="003F7756" w:rsidRPr="00120601" w:rsidRDefault="003F7756" w:rsidP="003F7756">
            <w:pPr>
              <w:pStyle w:val="FSTableText"/>
              <w:jc w:val="center"/>
              <w:rPr>
                <w:sz w:val="16"/>
              </w:rPr>
            </w:pPr>
            <w:r w:rsidRPr="00120601">
              <w:rPr>
                <w:sz w:val="16"/>
              </w:rPr>
              <w:t>Environmental release &amp; cultivation</w:t>
            </w:r>
          </w:p>
        </w:tc>
        <w:tc>
          <w:tcPr>
            <w:tcW w:w="1631" w:type="dxa"/>
            <w:vAlign w:val="center"/>
          </w:tcPr>
          <w:p w14:paraId="08F44E98" w14:textId="77777777" w:rsidR="003F7756" w:rsidRPr="00120601" w:rsidRDefault="003F7756" w:rsidP="003F7756">
            <w:pPr>
              <w:pStyle w:val="FSTableText"/>
              <w:jc w:val="center"/>
              <w:rPr>
                <w:sz w:val="14"/>
              </w:rPr>
            </w:pPr>
            <w:r w:rsidRPr="00120601">
              <w:rPr>
                <w:sz w:val="14"/>
              </w:rPr>
              <w:t>Approved 2016</w:t>
            </w:r>
          </w:p>
        </w:tc>
        <w:tc>
          <w:tcPr>
            <w:tcW w:w="1631" w:type="dxa"/>
            <w:vAlign w:val="center"/>
          </w:tcPr>
          <w:p w14:paraId="1F77C575" w14:textId="77777777" w:rsidR="003F7756" w:rsidRPr="00120601" w:rsidRDefault="003F7756" w:rsidP="003F7756">
            <w:pPr>
              <w:pStyle w:val="FSTableText"/>
              <w:jc w:val="center"/>
              <w:rPr>
                <w:sz w:val="14"/>
              </w:rPr>
            </w:pPr>
            <w:r w:rsidRPr="00120601">
              <w:rPr>
                <w:sz w:val="14"/>
              </w:rPr>
              <w:t>Under review</w:t>
            </w:r>
          </w:p>
        </w:tc>
      </w:tr>
      <w:tr w:rsidR="003F7756" w14:paraId="3642516F" w14:textId="77777777" w:rsidTr="003F7756">
        <w:trPr>
          <w:trHeight w:val="326"/>
        </w:trPr>
        <w:tc>
          <w:tcPr>
            <w:tcW w:w="1715" w:type="dxa"/>
            <w:vMerge/>
            <w:vAlign w:val="center"/>
          </w:tcPr>
          <w:p w14:paraId="1186C709" w14:textId="77777777" w:rsidR="003F7756" w:rsidRPr="00120601" w:rsidRDefault="003F7756" w:rsidP="003F7756">
            <w:pPr>
              <w:pStyle w:val="FSTableText"/>
              <w:rPr>
                <w:sz w:val="16"/>
              </w:rPr>
            </w:pPr>
          </w:p>
        </w:tc>
        <w:tc>
          <w:tcPr>
            <w:tcW w:w="1652" w:type="dxa"/>
            <w:vAlign w:val="center"/>
          </w:tcPr>
          <w:p w14:paraId="7A8E60A9" w14:textId="77777777" w:rsidR="003F7756" w:rsidRPr="00120601" w:rsidRDefault="003F7756" w:rsidP="003F7756">
            <w:pPr>
              <w:pStyle w:val="FSTableText"/>
              <w:rPr>
                <w:sz w:val="16"/>
              </w:rPr>
            </w:pPr>
            <w:r w:rsidRPr="00120601">
              <w:rPr>
                <w:sz w:val="16"/>
              </w:rPr>
              <w:t>EPA</w:t>
            </w:r>
          </w:p>
        </w:tc>
        <w:tc>
          <w:tcPr>
            <w:tcW w:w="2330" w:type="dxa"/>
            <w:vMerge/>
            <w:vAlign w:val="center"/>
          </w:tcPr>
          <w:p w14:paraId="431F1CAB" w14:textId="77777777" w:rsidR="003F7756" w:rsidRPr="00120601" w:rsidRDefault="003F7756" w:rsidP="003F7756">
            <w:pPr>
              <w:pStyle w:val="FSTableText"/>
              <w:jc w:val="center"/>
              <w:rPr>
                <w:sz w:val="16"/>
              </w:rPr>
            </w:pPr>
          </w:p>
        </w:tc>
        <w:tc>
          <w:tcPr>
            <w:tcW w:w="1631" w:type="dxa"/>
            <w:vAlign w:val="center"/>
          </w:tcPr>
          <w:p w14:paraId="1B9BADE8" w14:textId="77777777" w:rsidR="003F7756" w:rsidRPr="00120601" w:rsidRDefault="003F7756" w:rsidP="003F7756">
            <w:pPr>
              <w:pStyle w:val="FSTableText"/>
              <w:jc w:val="center"/>
              <w:rPr>
                <w:sz w:val="14"/>
              </w:rPr>
            </w:pPr>
            <w:r>
              <w:rPr>
                <w:sz w:val="14"/>
              </w:rPr>
              <w:t>N/A</w:t>
            </w:r>
          </w:p>
        </w:tc>
        <w:tc>
          <w:tcPr>
            <w:tcW w:w="1631" w:type="dxa"/>
            <w:vAlign w:val="center"/>
          </w:tcPr>
          <w:p w14:paraId="3E6B5255" w14:textId="77777777" w:rsidR="003F7756" w:rsidRPr="00120601" w:rsidRDefault="003F7756" w:rsidP="003F7756">
            <w:pPr>
              <w:pStyle w:val="FSTableText"/>
              <w:jc w:val="center"/>
              <w:rPr>
                <w:sz w:val="14"/>
              </w:rPr>
            </w:pPr>
            <w:r>
              <w:rPr>
                <w:sz w:val="14"/>
              </w:rPr>
              <w:t>Approved 2020</w:t>
            </w:r>
          </w:p>
        </w:tc>
      </w:tr>
      <w:tr w:rsidR="003F7756" w14:paraId="31F5BA94" w14:textId="77777777" w:rsidTr="003F7756">
        <w:trPr>
          <w:trHeight w:val="326"/>
        </w:trPr>
        <w:tc>
          <w:tcPr>
            <w:tcW w:w="1715" w:type="dxa"/>
            <w:vMerge/>
            <w:vAlign w:val="center"/>
          </w:tcPr>
          <w:p w14:paraId="293ADEE6" w14:textId="77777777" w:rsidR="003F7756" w:rsidRPr="00120601" w:rsidRDefault="003F7756" w:rsidP="003F7756">
            <w:pPr>
              <w:pStyle w:val="FSTableText"/>
              <w:rPr>
                <w:sz w:val="16"/>
              </w:rPr>
            </w:pPr>
          </w:p>
        </w:tc>
        <w:tc>
          <w:tcPr>
            <w:tcW w:w="1652" w:type="dxa"/>
            <w:vAlign w:val="center"/>
          </w:tcPr>
          <w:p w14:paraId="5285F3A6" w14:textId="77777777" w:rsidR="003F7756" w:rsidRPr="00120601" w:rsidRDefault="003F7756" w:rsidP="003F7756">
            <w:pPr>
              <w:pStyle w:val="FSTableText"/>
              <w:rPr>
                <w:sz w:val="16"/>
              </w:rPr>
            </w:pPr>
            <w:r w:rsidRPr="00120601">
              <w:rPr>
                <w:sz w:val="16"/>
              </w:rPr>
              <w:t>FDA</w:t>
            </w:r>
          </w:p>
        </w:tc>
        <w:tc>
          <w:tcPr>
            <w:tcW w:w="2330" w:type="dxa"/>
            <w:vAlign w:val="center"/>
          </w:tcPr>
          <w:p w14:paraId="77E0F5D4" w14:textId="77777777" w:rsidR="003F7756" w:rsidRPr="00120601" w:rsidRDefault="003F7756" w:rsidP="003F7756">
            <w:pPr>
              <w:pStyle w:val="FSTableText"/>
              <w:jc w:val="center"/>
              <w:rPr>
                <w:sz w:val="16"/>
              </w:rPr>
            </w:pPr>
            <w:r w:rsidRPr="00120601">
              <w:rPr>
                <w:sz w:val="16"/>
              </w:rPr>
              <w:t>Food and feed</w:t>
            </w:r>
          </w:p>
        </w:tc>
        <w:tc>
          <w:tcPr>
            <w:tcW w:w="1631" w:type="dxa"/>
            <w:vAlign w:val="center"/>
          </w:tcPr>
          <w:p w14:paraId="0C43ADA5" w14:textId="77777777" w:rsidR="003F7756" w:rsidRPr="00120601" w:rsidRDefault="003F7756" w:rsidP="003F7756">
            <w:pPr>
              <w:pStyle w:val="FSTableText"/>
              <w:jc w:val="center"/>
              <w:rPr>
                <w:sz w:val="14"/>
              </w:rPr>
            </w:pPr>
            <w:r>
              <w:rPr>
                <w:sz w:val="14"/>
              </w:rPr>
              <w:t>Approved 2016</w:t>
            </w:r>
          </w:p>
        </w:tc>
        <w:tc>
          <w:tcPr>
            <w:tcW w:w="1631" w:type="dxa"/>
            <w:vAlign w:val="center"/>
          </w:tcPr>
          <w:p w14:paraId="1B694E83" w14:textId="77777777" w:rsidR="003F7756" w:rsidRPr="00120601" w:rsidRDefault="003F7756" w:rsidP="003F7756">
            <w:pPr>
              <w:pStyle w:val="FSTableText"/>
              <w:jc w:val="center"/>
              <w:rPr>
                <w:sz w:val="14"/>
              </w:rPr>
            </w:pPr>
            <w:r w:rsidRPr="00120601">
              <w:rPr>
                <w:sz w:val="14"/>
              </w:rPr>
              <w:t>Under review</w:t>
            </w:r>
          </w:p>
        </w:tc>
      </w:tr>
      <w:tr w:rsidR="003F7756" w14:paraId="196AECE2" w14:textId="77777777" w:rsidTr="003F7756">
        <w:trPr>
          <w:trHeight w:val="326"/>
        </w:trPr>
        <w:tc>
          <w:tcPr>
            <w:tcW w:w="1715" w:type="dxa"/>
            <w:vMerge w:val="restart"/>
            <w:shd w:val="clear" w:color="auto" w:fill="EAF1DD" w:themeFill="accent3" w:themeFillTint="33"/>
            <w:vAlign w:val="center"/>
          </w:tcPr>
          <w:p w14:paraId="3B038214" w14:textId="77777777" w:rsidR="003F7756" w:rsidRPr="00120601" w:rsidRDefault="003F7756" w:rsidP="003F7756">
            <w:pPr>
              <w:pStyle w:val="FSTableText"/>
              <w:rPr>
                <w:sz w:val="16"/>
              </w:rPr>
            </w:pPr>
            <w:r w:rsidRPr="00120601">
              <w:rPr>
                <w:sz w:val="16"/>
              </w:rPr>
              <w:t>Canada</w:t>
            </w:r>
          </w:p>
        </w:tc>
        <w:tc>
          <w:tcPr>
            <w:tcW w:w="1652" w:type="dxa"/>
            <w:shd w:val="clear" w:color="auto" w:fill="EAF1DD" w:themeFill="accent3" w:themeFillTint="33"/>
            <w:vAlign w:val="center"/>
          </w:tcPr>
          <w:p w14:paraId="10A20998" w14:textId="77777777" w:rsidR="003F7756" w:rsidRPr="00120601" w:rsidRDefault="003F7756" w:rsidP="003F7756">
            <w:pPr>
              <w:pStyle w:val="FSTableText"/>
              <w:rPr>
                <w:sz w:val="16"/>
              </w:rPr>
            </w:pPr>
            <w:r w:rsidRPr="00120601">
              <w:rPr>
                <w:sz w:val="16"/>
              </w:rPr>
              <w:t>CFIA</w:t>
            </w:r>
          </w:p>
        </w:tc>
        <w:tc>
          <w:tcPr>
            <w:tcW w:w="2330" w:type="dxa"/>
            <w:shd w:val="clear" w:color="auto" w:fill="EAF1DD" w:themeFill="accent3" w:themeFillTint="33"/>
            <w:vAlign w:val="center"/>
          </w:tcPr>
          <w:p w14:paraId="3356B4E8" w14:textId="77777777" w:rsidR="003F7756" w:rsidRPr="00120601" w:rsidRDefault="003F7756" w:rsidP="003F7756">
            <w:pPr>
              <w:pStyle w:val="FSTableText"/>
              <w:jc w:val="center"/>
              <w:rPr>
                <w:sz w:val="16"/>
              </w:rPr>
            </w:pPr>
            <w:r w:rsidRPr="00120601">
              <w:rPr>
                <w:sz w:val="16"/>
              </w:rPr>
              <w:t>Environmental release &amp; feed</w:t>
            </w:r>
          </w:p>
        </w:tc>
        <w:tc>
          <w:tcPr>
            <w:tcW w:w="1631" w:type="dxa"/>
            <w:shd w:val="clear" w:color="auto" w:fill="EAF1DD" w:themeFill="accent3" w:themeFillTint="33"/>
            <w:vAlign w:val="center"/>
          </w:tcPr>
          <w:p w14:paraId="2066F3F6" w14:textId="77777777" w:rsidR="003F7756" w:rsidRPr="00120601" w:rsidRDefault="003F7756" w:rsidP="003F7756">
            <w:pPr>
              <w:pStyle w:val="FSTableText"/>
              <w:jc w:val="center"/>
              <w:rPr>
                <w:sz w:val="14"/>
              </w:rPr>
            </w:pPr>
            <w:r>
              <w:rPr>
                <w:sz w:val="14"/>
              </w:rPr>
              <w:t>Approved 2016</w:t>
            </w:r>
          </w:p>
        </w:tc>
        <w:tc>
          <w:tcPr>
            <w:tcW w:w="1631" w:type="dxa"/>
            <w:shd w:val="clear" w:color="auto" w:fill="EAF1DD" w:themeFill="accent3" w:themeFillTint="33"/>
            <w:vAlign w:val="center"/>
          </w:tcPr>
          <w:p w14:paraId="28A9E961" w14:textId="77777777" w:rsidR="003F7756" w:rsidRPr="00120601" w:rsidRDefault="003F7756" w:rsidP="003F7756">
            <w:pPr>
              <w:pStyle w:val="FSTableText"/>
              <w:jc w:val="center"/>
              <w:rPr>
                <w:sz w:val="14"/>
              </w:rPr>
            </w:pPr>
            <w:r w:rsidRPr="00120601">
              <w:rPr>
                <w:sz w:val="14"/>
              </w:rPr>
              <w:t>Under review</w:t>
            </w:r>
          </w:p>
        </w:tc>
      </w:tr>
      <w:tr w:rsidR="003F7756" w14:paraId="39CE9A35" w14:textId="77777777" w:rsidTr="003F7756">
        <w:trPr>
          <w:trHeight w:val="326"/>
        </w:trPr>
        <w:tc>
          <w:tcPr>
            <w:tcW w:w="1715" w:type="dxa"/>
            <w:vMerge/>
            <w:shd w:val="clear" w:color="auto" w:fill="EAF1DD" w:themeFill="accent3" w:themeFillTint="33"/>
            <w:vAlign w:val="center"/>
          </w:tcPr>
          <w:p w14:paraId="360E47E2" w14:textId="77777777" w:rsidR="003F7756" w:rsidRPr="00120601" w:rsidRDefault="003F7756" w:rsidP="003F7756">
            <w:pPr>
              <w:pStyle w:val="FSTableText"/>
              <w:rPr>
                <w:sz w:val="16"/>
              </w:rPr>
            </w:pPr>
          </w:p>
        </w:tc>
        <w:tc>
          <w:tcPr>
            <w:tcW w:w="1652" w:type="dxa"/>
            <w:shd w:val="clear" w:color="auto" w:fill="EAF1DD" w:themeFill="accent3" w:themeFillTint="33"/>
            <w:vAlign w:val="center"/>
          </w:tcPr>
          <w:p w14:paraId="5CE88244" w14:textId="77777777" w:rsidR="003F7756" w:rsidRPr="00120601" w:rsidRDefault="003F7756" w:rsidP="003F7756">
            <w:pPr>
              <w:pStyle w:val="FSTableText"/>
              <w:rPr>
                <w:sz w:val="16"/>
              </w:rPr>
            </w:pPr>
            <w:r w:rsidRPr="00120601">
              <w:rPr>
                <w:sz w:val="16"/>
              </w:rPr>
              <w:t>Health Canada</w:t>
            </w:r>
          </w:p>
        </w:tc>
        <w:tc>
          <w:tcPr>
            <w:tcW w:w="2330" w:type="dxa"/>
            <w:shd w:val="clear" w:color="auto" w:fill="EAF1DD" w:themeFill="accent3" w:themeFillTint="33"/>
            <w:vAlign w:val="center"/>
          </w:tcPr>
          <w:p w14:paraId="5EDA4A63" w14:textId="77777777" w:rsidR="003F7756" w:rsidRPr="00120601" w:rsidRDefault="003F7756" w:rsidP="003F7756">
            <w:pPr>
              <w:pStyle w:val="FSTableText"/>
              <w:jc w:val="center"/>
              <w:rPr>
                <w:sz w:val="16"/>
              </w:rPr>
            </w:pPr>
            <w:r w:rsidRPr="00120601">
              <w:rPr>
                <w:sz w:val="16"/>
              </w:rPr>
              <w:t>Food</w:t>
            </w:r>
          </w:p>
        </w:tc>
        <w:tc>
          <w:tcPr>
            <w:tcW w:w="1631" w:type="dxa"/>
            <w:shd w:val="clear" w:color="auto" w:fill="EAF1DD" w:themeFill="accent3" w:themeFillTint="33"/>
            <w:vAlign w:val="center"/>
          </w:tcPr>
          <w:p w14:paraId="77649014" w14:textId="77777777" w:rsidR="003F7756" w:rsidRPr="00120601" w:rsidRDefault="003F7756" w:rsidP="003F7756">
            <w:pPr>
              <w:pStyle w:val="FSTableText"/>
              <w:jc w:val="center"/>
              <w:rPr>
                <w:sz w:val="14"/>
              </w:rPr>
            </w:pPr>
            <w:r>
              <w:rPr>
                <w:sz w:val="14"/>
              </w:rPr>
              <w:t>Approved 2016</w:t>
            </w:r>
          </w:p>
        </w:tc>
        <w:tc>
          <w:tcPr>
            <w:tcW w:w="1631" w:type="dxa"/>
            <w:shd w:val="clear" w:color="auto" w:fill="EAF1DD" w:themeFill="accent3" w:themeFillTint="33"/>
            <w:vAlign w:val="center"/>
          </w:tcPr>
          <w:p w14:paraId="67F8407B" w14:textId="77777777" w:rsidR="003F7756" w:rsidRPr="00120601" w:rsidRDefault="003F7756" w:rsidP="003F7756">
            <w:pPr>
              <w:pStyle w:val="FSTableText"/>
              <w:jc w:val="center"/>
              <w:rPr>
                <w:sz w:val="14"/>
              </w:rPr>
            </w:pPr>
            <w:r w:rsidRPr="00120601">
              <w:rPr>
                <w:sz w:val="14"/>
              </w:rPr>
              <w:t>Under review</w:t>
            </w:r>
          </w:p>
        </w:tc>
      </w:tr>
    </w:tbl>
    <w:p w14:paraId="3B5750B1" w14:textId="77777777" w:rsidR="00625932" w:rsidRDefault="00625932" w:rsidP="00F60FF9"/>
    <w:p w14:paraId="420860F0" w14:textId="34A50FAE" w:rsidR="00F60FF9" w:rsidRPr="003F7756" w:rsidRDefault="003F7756" w:rsidP="00F60FF9">
      <w:pPr>
        <w:rPr>
          <w:b/>
          <w:bCs/>
          <w:lang w:val="en-AU"/>
        </w:rPr>
      </w:pPr>
      <w:r>
        <w:t>Further other relevant matters are considered below</w:t>
      </w:r>
      <w:r>
        <w:rPr>
          <w:lang w:bidi="ar-SA"/>
        </w:rPr>
        <w:t>.</w:t>
      </w:r>
    </w:p>
    <w:p w14:paraId="740BBEC0" w14:textId="560B0642" w:rsidR="00022DBC" w:rsidRPr="00914030" w:rsidRDefault="001E2FCD" w:rsidP="00022DBC">
      <w:pPr>
        <w:pStyle w:val="Heading3"/>
      </w:pPr>
      <w:bookmarkStart w:id="76" w:name="_Toc49174702"/>
      <w:r>
        <w:t>2.5</w:t>
      </w:r>
      <w:r w:rsidR="00BE3818">
        <w:t>.2</w:t>
      </w:r>
      <w:r w:rsidR="00022DBC" w:rsidRPr="00914030">
        <w:tab/>
      </w:r>
      <w:r w:rsidR="00BE3818">
        <w:t>Subsection 18(1)</w:t>
      </w:r>
      <w:bookmarkEnd w:id="76"/>
      <w:r w:rsidR="00BE3818">
        <w:t xml:space="preserve"> </w:t>
      </w:r>
      <w:bookmarkEnd w:id="74"/>
      <w:bookmarkEnd w:id="75"/>
    </w:p>
    <w:p w14:paraId="01A1BFBE"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35459665" w14:textId="1A5B0849" w:rsidR="00022DBC" w:rsidRPr="00914030" w:rsidRDefault="001E2FCD" w:rsidP="00022DBC">
      <w:pPr>
        <w:pStyle w:val="Heading4"/>
        <w:rPr>
          <w:lang w:eastAsia="en-AU"/>
        </w:rPr>
      </w:pPr>
      <w:bookmarkStart w:id="77" w:name="_Toc297029117"/>
      <w:bookmarkStart w:id="78" w:name="_Toc300761898"/>
      <w:bookmarkStart w:id="79" w:name="_Toc300933441"/>
      <w:r>
        <w:rPr>
          <w:lang w:eastAsia="en-AU"/>
        </w:rPr>
        <w:t>2.5</w:t>
      </w:r>
      <w:r w:rsidR="00BE3818">
        <w:rPr>
          <w:lang w:eastAsia="en-AU"/>
        </w:rPr>
        <w:t>.2</w:t>
      </w:r>
      <w:r w:rsidR="00022DBC" w:rsidRPr="00914030">
        <w:rPr>
          <w:lang w:eastAsia="en-AU"/>
        </w:rPr>
        <w:t>.1</w:t>
      </w:r>
      <w:r w:rsidR="00022DBC" w:rsidRPr="00914030">
        <w:rPr>
          <w:lang w:eastAsia="en-AU"/>
        </w:rPr>
        <w:tab/>
        <w:t>Protection of public health and safety</w:t>
      </w:r>
      <w:bookmarkEnd w:id="77"/>
      <w:bookmarkEnd w:id="78"/>
      <w:bookmarkEnd w:id="79"/>
    </w:p>
    <w:p w14:paraId="45198798" w14:textId="529651BF" w:rsidR="00F60FF9" w:rsidRDefault="00F60FF9" w:rsidP="00F60FF9">
      <w:pPr>
        <w:rPr>
          <w:color w:val="000000" w:themeColor="text1"/>
        </w:rPr>
      </w:pPr>
      <w:bookmarkStart w:id="80" w:name="_Toc300761899"/>
      <w:bookmarkStart w:id="81" w:name="_Toc300933442"/>
      <w:r>
        <w:rPr>
          <w:color w:val="000000" w:themeColor="text1"/>
        </w:rPr>
        <w:t xml:space="preserve">Food derived from potato lines V11 and Z6 has been assessed based on the data requirements provided in the FSANZ </w:t>
      </w:r>
      <w:hyperlink r:id="rId26" w:history="1">
        <w:r>
          <w:rPr>
            <w:rStyle w:val="Hyperlink"/>
            <w:i/>
          </w:rPr>
          <w:t>Application Handbook</w:t>
        </w:r>
      </w:hyperlink>
      <w:r>
        <w:rPr>
          <w:rStyle w:val="FootnoteReference"/>
          <w:i/>
          <w:color w:val="000000" w:themeColor="text1"/>
        </w:rPr>
        <w:footnoteReference w:id="20"/>
      </w:r>
      <w:r>
        <w:rPr>
          <w:color w:val="000000" w:themeColor="text1"/>
        </w:rPr>
        <w:t xml:space="preserve"> which, in turn reflect internationally-accepted GM food safety assessment guidelines. No public health and safety concerns were identified in this </w:t>
      </w:r>
      <w:r w:rsidR="00C94C97">
        <w:rPr>
          <w:color w:val="000000" w:themeColor="text1"/>
        </w:rPr>
        <w:t xml:space="preserve">safety </w:t>
      </w:r>
      <w:r>
        <w:rPr>
          <w:color w:val="000000" w:themeColor="text1"/>
        </w:rPr>
        <w:t xml:space="preserve">assessment. Based on the available evidence, including detailed studies provided by the </w:t>
      </w:r>
      <w:r w:rsidR="00771655">
        <w:rPr>
          <w:color w:val="000000" w:themeColor="text1"/>
        </w:rPr>
        <w:t>a</w:t>
      </w:r>
      <w:r>
        <w:rPr>
          <w:color w:val="000000" w:themeColor="text1"/>
        </w:rPr>
        <w:t xml:space="preserve">pplicant, food derived from </w:t>
      </w:r>
      <w:r w:rsidR="00B04135">
        <w:rPr>
          <w:color w:val="000000" w:themeColor="text1"/>
        </w:rPr>
        <w:t xml:space="preserve">potato lines </w:t>
      </w:r>
      <w:r>
        <w:rPr>
          <w:color w:val="000000" w:themeColor="text1"/>
        </w:rPr>
        <w:t xml:space="preserve">V11 and Z6 is considered as safe as food derived from other </w:t>
      </w:r>
      <w:r w:rsidR="00EE0D90">
        <w:rPr>
          <w:color w:val="000000" w:themeColor="text1"/>
        </w:rPr>
        <w:t>non-GM</w:t>
      </w:r>
      <w:r>
        <w:rPr>
          <w:color w:val="000000" w:themeColor="text1"/>
        </w:rPr>
        <w:t xml:space="preserve"> potato lines.</w:t>
      </w:r>
    </w:p>
    <w:p w14:paraId="3631D1D1" w14:textId="77E95387" w:rsidR="00022DBC" w:rsidRPr="00914030" w:rsidRDefault="001E2FCD" w:rsidP="00022DBC">
      <w:pPr>
        <w:pStyle w:val="Heading4"/>
        <w:rPr>
          <w:lang w:eastAsia="en-AU"/>
        </w:rPr>
      </w:pPr>
      <w:r>
        <w:rPr>
          <w:lang w:eastAsia="en-AU"/>
        </w:rPr>
        <w:t>2.5</w:t>
      </w:r>
      <w:r w:rsidR="00BE3818">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80"/>
      <w:bookmarkEnd w:id="81"/>
    </w:p>
    <w:p w14:paraId="73E9F3DD" w14:textId="6921F1E0" w:rsidR="0099712F" w:rsidRDefault="00A32756" w:rsidP="0099712F">
      <w:bookmarkStart w:id="82" w:name="_Toc300761900"/>
      <w:bookmarkStart w:id="83" w:name="_Toc300933443"/>
      <w:r>
        <w:t xml:space="preserve">Existing labelling requirements for GM labelling will apply </w:t>
      </w:r>
      <w:r w:rsidR="0099712F">
        <w:t>to food derived from Innate potato lines V11 and Z6</w:t>
      </w:r>
      <w:r>
        <w:t xml:space="preserve"> to </w:t>
      </w:r>
      <w:r w:rsidR="0099712F">
        <w:t>enable informed consumer choice</w:t>
      </w:r>
      <w:r w:rsidR="009E3016">
        <w:t xml:space="preserve"> (see</w:t>
      </w:r>
      <w:r w:rsidR="00AE28A2">
        <w:t xml:space="preserve"> S</w:t>
      </w:r>
      <w:r w:rsidR="009E3016">
        <w:t>ection 2.3</w:t>
      </w:r>
      <w:r w:rsidR="0099712F">
        <w:t>.1.1</w:t>
      </w:r>
      <w:r w:rsidR="007B59A8">
        <w:t xml:space="preserve"> </w:t>
      </w:r>
      <w:r w:rsidR="007B59A8" w:rsidRPr="000359C2">
        <w:t>of this Report</w:t>
      </w:r>
      <w:r w:rsidR="0099712F">
        <w:t>).</w:t>
      </w:r>
    </w:p>
    <w:p w14:paraId="4BE24A4C" w14:textId="3CBEE067" w:rsidR="00022DBC" w:rsidRPr="00914030" w:rsidRDefault="001E2FCD" w:rsidP="00022DBC">
      <w:pPr>
        <w:pStyle w:val="Heading4"/>
        <w:rPr>
          <w:lang w:eastAsia="en-AU"/>
        </w:rPr>
      </w:pPr>
      <w:r>
        <w:rPr>
          <w:lang w:eastAsia="en-AU"/>
        </w:rPr>
        <w:t>2.5</w:t>
      </w:r>
      <w:r w:rsidR="00BE3818">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82"/>
      <w:bookmarkEnd w:id="83"/>
    </w:p>
    <w:p w14:paraId="59BB9885" w14:textId="4FFDD160" w:rsidR="00F60FF9" w:rsidRDefault="00F60FF9" w:rsidP="00F60FF9">
      <w:pPr>
        <w:rPr>
          <w:color w:val="00B050"/>
        </w:rPr>
      </w:pPr>
      <w:bookmarkStart w:id="84" w:name="_Toc300761901"/>
      <w:bookmarkStart w:id="85" w:name="_Toc300933444"/>
      <w:r>
        <w:rPr>
          <w:color w:val="000000" w:themeColor="text1"/>
        </w:rPr>
        <w:t xml:space="preserve">The provision of detection methodology by the </w:t>
      </w:r>
      <w:r w:rsidR="00771655">
        <w:rPr>
          <w:color w:val="000000" w:themeColor="text1"/>
        </w:rPr>
        <w:t>a</w:t>
      </w:r>
      <w:r>
        <w:rPr>
          <w:color w:val="000000" w:themeColor="text1"/>
        </w:rPr>
        <w:t>pplic</w:t>
      </w:r>
      <w:r w:rsidR="009E3016">
        <w:rPr>
          <w:color w:val="000000" w:themeColor="text1"/>
        </w:rPr>
        <w:t>ant (as described in Section 2.3</w:t>
      </w:r>
      <w:r>
        <w:rPr>
          <w:color w:val="000000" w:themeColor="text1"/>
        </w:rPr>
        <w:t>.2</w:t>
      </w:r>
      <w:r w:rsidR="007B59A8">
        <w:rPr>
          <w:color w:val="000000" w:themeColor="text1"/>
        </w:rPr>
        <w:t xml:space="preserve"> </w:t>
      </w:r>
      <w:r w:rsidR="007B59A8" w:rsidRPr="000359C2">
        <w:t>of this Report</w:t>
      </w:r>
      <w:r>
        <w:rPr>
          <w:color w:val="000000" w:themeColor="text1"/>
        </w:rPr>
        <w:t>) addresses this objective.</w:t>
      </w:r>
    </w:p>
    <w:p w14:paraId="68426532" w14:textId="15BD4174" w:rsidR="00022DBC" w:rsidRPr="00914030" w:rsidRDefault="001E2FCD" w:rsidP="00B51E03">
      <w:pPr>
        <w:pStyle w:val="Heading3"/>
      </w:pPr>
      <w:bookmarkStart w:id="86" w:name="_Toc49174703"/>
      <w:r>
        <w:t>2.5</w:t>
      </w:r>
      <w:r w:rsidR="00B51E03">
        <w:t>.3</w:t>
      </w:r>
      <w:r w:rsidR="00022DBC" w:rsidRPr="00914030">
        <w:tab/>
        <w:t xml:space="preserve">Subsection 18(2) </w:t>
      </w:r>
      <w:bookmarkEnd w:id="84"/>
      <w:bookmarkEnd w:id="85"/>
      <w:r w:rsidR="00022DBC" w:rsidRPr="00914030">
        <w:t>considerations</w:t>
      </w:r>
      <w:bookmarkEnd w:id="86"/>
    </w:p>
    <w:p w14:paraId="563121A7" w14:textId="77777777" w:rsidR="00022DBC" w:rsidRPr="00914030" w:rsidRDefault="00022DBC" w:rsidP="00A75CB6">
      <w:pPr>
        <w:spacing w:after="240"/>
        <w:rPr>
          <w:rFonts w:cs="Arial"/>
        </w:rPr>
      </w:pPr>
      <w:r w:rsidRPr="00914030">
        <w:rPr>
          <w:rFonts w:cs="Arial"/>
        </w:rPr>
        <w:t>FSANZ has also had regard to:</w:t>
      </w:r>
    </w:p>
    <w:p w14:paraId="2B3771B0" w14:textId="77777777" w:rsidR="00022DBC" w:rsidRPr="008828D9" w:rsidRDefault="00022DBC" w:rsidP="00A75CB6">
      <w:pPr>
        <w:pStyle w:val="FSBullet1"/>
        <w:spacing w:after="240"/>
        <w:rPr>
          <w:b/>
        </w:rPr>
      </w:pPr>
      <w:r w:rsidRPr="008828D9">
        <w:rPr>
          <w:b/>
        </w:rPr>
        <w:t>the need for standards to be based on risk analysis using the best available scientific evidence</w:t>
      </w:r>
    </w:p>
    <w:p w14:paraId="16780327" w14:textId="1DCC3D98" w:rsidR="008828D9" w:rsidRPr="008828D9" w:rsidRDefault="00DB09D7" w:rsidP="00A75CB6">
      <w:pPr>
        <w:spacing w:after="240"/>
        <w:rPr>
          <w:lang w:bidi="ar-SA"/>
        </w:rPr>
      </w:pPr>
      <w:r>
        <w:rPr>
          <w:color w:val="000000" w:themeColor="text1"/>
        </w:rPr>
        <w:t xml:space="preserve">FSANZ’s approach to the safety assessment of all GM foods applies concepts and principles outlined in the Codex Principles for the Risk Analysis of Foods derived from </w:t>
      </w:r>
      <w:r w:rsidR="00D05B15">
        <w:rPr>
          <w:color w:val="000000" w:themeColor="text1"/>
        </w:rPr>
        <w:t xml:space="preserve">Modern </w:t>
      </w:r>
      <w:r>
        <w:rPr>
          <w:color w:val="000000" w:themeColor="text1"/>
        </w:rPr>
        <w:t>Biotechnology (Codex, 2009</w:t>
      </w:r>
      <w:r w:rsidR="00D05B15">
        <w:rPr>
          <w:color w:val="000000" w:themeColor="text1"/>
        </w:rPr>
        <w:t>a</w:t>
      </w:r>
      <w:r>
        <w:rPr>
          <w:color w:val="000000" w:themeColor="text1"/>
        </w:rPr>
        <w:t xml:space="preserve">). Based on these principles, the risk analysis undertaken for </w:t>
      </w:r>
      <w:r w:rsidR="008E540B">
        <w:rPr>
          <w:color w:val="000000" w:themeColor="text1"/>
        </w:rPr>
        <w:t>Innate potato lines V11 and Z6</w:t>
      </w:r>
      <w:r>
        <w:rPr>
          <w:color w:val="000000" w:themeColor="text1"/>
        </w:rPr>
        <w:t xml:space="preserve"> used the best scientific evidence available. The </w:t>
      </w:r>
      <w:r w:rsidR="00771655">
        <w:rPr>
          <w:color w:val="000000" w:themeColor="text1"/>
        </w:rPr>
        <w:t>a</w:t>
      </w:r>
      <w:r>
        <w:rPr>
          <w:color w:val="000000" w:themeColor="text1"/>
        </w:rPr>
        <w:t xml:space="preserve">pplicant submitted a comprehensive dossier of quality-assured raw experimental data. In addition to the information supplied by the </w:t>
      </w:r>
      <w:r w:rsidR="00771655">
        <w:rPr>
          <w:color w:val="000000" w:themeColor="text1"/>
        </w:rPr>
        <w:t>a</w:t>
      </w:r>
      <w:r>
        <w:rPr>
          <w:color w:val="000000" w:themeColor="text1"/>
        </w:rPr>
        <w:t>pplicant, other available resource material including published scientific literature and general technical information was used in the safety assessment.</w:t>
      </w:r>
    </w:p>
    <w:p w14:paraId="151DAC3D" w14:textId="77777777" w:rsidR="00022DBC" w:rsidRPr="008828D9" w:rsidRDefault="00022DBC" w:rsidP="00A75CB6">
      <w:pPr>
        <w:pStyle w:val="FSBullet1"/>
        <w:spacing w:after="240"/>
        <w:rPr>
          <w:b/>
        </w:rPr>
      </w:pPr>
      <w:r w:rsidRPr="008828D9">
        <w:rPr>
          <w:b/>
        </w:rPr>
        <w:t>the promotion of consistency between domestic and international food standards</w:t>
      </w:r>
    </w:p>
    <w:p w14:paraId="56F96AC7" w14:textId="1B774307" w:rsidR="008828D9" w:rsidRDefault="008E540B" w:rsidP="00A75CB6">
      <w:pPr>
        <w:spacing w:after="240"/>
        <w:rPr>
          <w:color w:val="000000" w:themeColor="text1"/>
        </w:rPr>
      </w:pPr>
      <w:r>
        <w:rPr>
          <w:color w:val="000000" w:themeColor="text1"/>
        </w:rPr>
        <w:t>This is not a consideration as there are no relevant international standards.</w:t>
      </w:r>
    </w:p>
    <w:p w14:paraId="076637D3" w14:textId="44C49108" w:rsidR="00FC30B8" w:rsidRPr="001E2FCD" w:rsidRDefault="00022DBC" w:rsidP="00A75CB6">
      <w:pPr>
        <w:pStyle w:val="FSBullet1"/>
        <w:spacing w:after="240"/>
        <w:rPr>
          <w:b/>
        </w:rPr>
      </w:pPr>
      <w:r w:rsidRPr="008828D9">
        <w:rPr>
          <w:b/>
        </w:rPr>
        <w:t>the desirability of an efficient and internationally competitive food industry</w:t>
      </w:r>
    </w:p>
    <w:p w14:paraId="039AB442" w14:textId="13005A87" w:rsidR="008E540B" w:rsidRPr="00B92E7E" w:rsidRDefault="008E540B" w:rsidP="00A75CB6">
      <w:pPr>
        <w:keepNext/>
        <w:spacing w:after="240"/>
      </w:pPr>
      <w:r w:rsidRPr="008E540B">
        <w:t xml:space="preserve">The inclusion of GM foods in the food supply, providing there are no safety concerns, allows for innovation by developers and a widening of the technological base for producing foods. </w:t>
      </w:r>
      <w:r w:rsidR="00C94C97">
        <w:t>P</w:t>
      </w:r>
      <w:r w:rsidRPr="00B92E7E">
        <w:t xml:space="preserve">otato lines V11 and Z6 are new food crops designed to reduce blackspot bruising in raw potatoes and acrylamide levels in cooked potato products. The </w:t>
      </w:r>
      <w:r w:rsidR="005A687C">
        <w:t>a</w:t>
      </w:r>
      <w:r w:rsidRPr="00B92E7E">
        <w:t xml:space="preserve">pplicant has indicated that reduced blackspot bruising can reduce wastage during storage and processing of potatoes, and reduced acrylamide levels may provide potential health benefits to consumers. Furthermore, the Z6 </w:t>
      </w:r>
      <w:r w:rsidR="00C94C97">
        <w:t xml:space="preserve">potato </w:t>
      </w:r>
      <w:r w:rsidRPr="00B92E7E">
        <w:t xml:space="preserve">line </w:t>
      </w:r>
      <w:r w:rsidR="002D74A2">
        <w:t>is</w:t>
      </w:r>
      <w:r w:rsidR="002D74A2" w:rsidRPr="00B92E7E">
        <w:t xml:space="preserve"> </w:t>
      </w:r>
      <w:r w:rsidRPr="00B92E7E">
        <w:t>resistant to the fungal disease known as foliar late blight, potentially enabling farmers to use less fungicide and ensure optimal crop yields.</w:t>
      </w:r>
    </w:p>
    <w:p w14:paraId="64551B56" w14:textId="77777777" w:rsidR="00022DBC" w:rsidRPr="008828D9" w:rsidRDefault="00022DBC" w:rsidP="00022DBC">
      <w:pPr>
        <w:pStyle w:val="FSBullet1"/>
        <w:rPr>
          <w:b/>
        </w:rPr>
      </w:pPr>
      <w:r w:rsidRPr="008828D9">
        <w:rPr>
          <w:b/>
        </w:rPr>
        <w:t>the promotion of fair trading in food</w:t>
      </w:r>
    </w:p>
    <w:p w14:paraId="3006AB8D" w14:textId="77777777" w:rsidR="008828D9" w:rsidRDefault="008828D9" w:rsidP="008828D9">
      <w:pPr>
        <w:rPr>
          <w:lang w:bidi="ar-SA"/>
        </w:rPr>
      </w:pPr>
    </w:p>
    <w:p w14:paraId="3894C471" w14:textId="111307D0" w:rsidR="008828D9" w:rsidRPr="008828D9" w:rsidRDefault="008E540B" w:rsidP="00A75CB6">
      <w:pPr>
        <w:spacing w:after="240"/>
        <w:rPr>
          <w:lang w:bidi="ar-SA"/>
        </w:rPr>
      </w:pPr>
      <w:r>
        <w:rPr>
          <w:color w:val="000000" w:themeColor="text1"/>
        </w:rPr>
        <w:t>Issues related to consumer information and safety are considered in Section 2.2 and 2.3</w:t>
      </w:r>
      <w:r w:rsidR="007B59A8">
        <w:rPr>
          <w:color w:val="000000" w:themeColor="text1"/>
        </w:rPr>
        <w:t xml:space="preserve"> </w:t>
      </w:r>
      <w:r w:rsidR="007B59A8" w:rsidRPr="000359C2">
        <w:t>of this Report</w:t>
      </w:r>
      <w:r>
        <w:rPr>
          <w:color w:val="000000" w:themeColor="text1"/>
        </w:rPr>
        <w:t xml:space="preserve"> above.</w:t>
      </w:r>
    </w:p>
    <w:p w14:paraId="5D0A75D2" w14:textId="31FAC91B" w:rsidR="00022DBC" w:rsidRDefault="00022DBC" w:rsidP="00A75CB6">
      <w:pPr>
        <w:pStyle w:val="FSBullet1"/>
        <w:spacing w:after="240"/>
      </w:pPr>
      <w:r w:rsidRPr="008828D9">
        <w:rPr>
          <w:b/>
        </w:rPr>
        <w:t xml:space="preserve">any written policy guidelines formulated by the </w:t>
      </w:r>
      <w:r w:rsidR="006E527D">
        <w:rPr>
          <w:b/>
        </w:rPr>
        <w:t>Forum on Food Regulation</w:t>
      </w:r>
    </w:p>
    <w:p w14:paraId="1F3C072C" w14:textId="6DBABC77" w:rsidR="00E520FE" w:rsidRDefault="008E540B" w:rsidP="00A75CB6">
      <w:pPr>
        <w:spacing w:after="240"/>
      </w:pPr>
      <w:r>
        <w:rPr>
          <w:color w:val="000000" w:themeColor="text1"/>
        </w:rPr>
        <w:t>No specific policy guidelines have been developed.</w:t>
      </w:r>
    </w:p>
    <w:p w14:paraId="5CEBD9E8" w14:textId="45FC190D" w:rsidR="005F7342" w:rsidRPr="00932F14" w:rsidRDefault="00867B23" w:rsidP="00E203C2">
      <w:pPr>
        <w:pStyle w:val="Heading1"/>
      </w:pPr>
      <w:bookmarkStart w:id="87" w:name="_Toc286391014"/>
      <w:bookmarkStart w:id="88" w:name="_Toc175381455"/>
      <w:bookmarkStart w:id="89" w:name="_Toc300933445"/>
      <w:bookmarkStart w:id="90" w:name="_Toc49174704"/>
      <w:bookmarkEnd w:id="27"/>
      <w:bookmarkEnd w:id="28"/>
      <w:bookmarkEnd w:id="29"/>
      <w:bookmarkEnd w:id="30"/>
      <w:bookmarkEnd w:id="31"/>
      <w:bookmarkEnd w:id="32"/>
      <w:bookmarkEnd w:id="60"/>
      <w:r>
        <w:t>3</w:t>
      </w:r>
      <w:r w:rsidR="00F604DE">
        <w:tab/>
      </w:r>
      <w:bookmarkEnd w:id="87"/>
      <w:bookmarkEnd w:id="88"/>
      <w:bookmarkEnd w:id="89"/>
      <w:r w:rsidR="00D14405">
        <w:t xml:space="preserve">Draft </w:t>
      </w:r>
      <w:r w:rsidR="00D14405" w:rsidRPr="00B92E7E">
        <w:t>variation</w:t>
      </w:r>
      <w:bookmarkEnd w:id="90"/>
      <w:r w:rsidR="00B92E7E" w:rsidRPr="00B92E7E">
        <w:t xml:space="preserve"> </w:t>
      </w:r>
    </w:p>
    <w:p w14:paraId="1635FFC2" w14:textId="62FAE6E9" w:rsidR="00B92E7E" w:rsidRPr="001E1FAB" w:rsidRDefault="00B92E7E" w:rsidP="00A75CB6">
      <w:pPr>
        <w:spacing w:after="240"/>
        <w:rPr>
          <w:color w:val="000000" w:themeColor="text1"/>
        </w:rPr>
      </w:pPr>
      <w:bookmarkStart w:id="91" w:name="_Toc175381456"/>
      <w:bookmarkStart w:id="92" w:name="_Toc300761917"/>
      <w:bookmarkStart w:id="93" w:name="_Toc300933449"/>
      <w:bookmarkStart w:id="94" w:name="_Toc11735643"/>
      <w:bookmarkStart w:id="95" w:name="_Toc29883130"/>
      <w:bookmarkStart w:id="96" w:name="_Toc41906817"/>
      <w:bookmarkStart w:id="97" w:name="_Toc41907564"/>
      <w:bookmarkStart w:id="98" w:name="_Toc43112360"/>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 the date of </w:t>
      </w:r>
      <w:r w:rsidRPr="00C17224">
        <w:t>gazettal.</w:t>
      </w:r>
    </w:p>
    <w:p w14:paraId="30A183C7" w14:textId="77777777" w:rsidR="00B92E7E" w:rsidRPr="00D26814" w:rsidRDefault="00B92E7E" w:rsidP="00A75CB6">
      <w:pPr>
        <w:spacing w:after="240"/>
        <w:rPr>
          <w:u w:val="single"/>
        </w:rPr>
      </w:pPr>
      <w:r>
        <w:t>A draft explanator</w:t>
      </w:r>
      <w:r w:rsidRPr="00D26814">
        <w:t>y statement</w:t>
      </w:r>
      <w:r>
        <w:t xml:space="preserve">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 xml:space="preserve">on. </w:t>
      </w:r>
    </w:p>
    <w:p w14:paraId="0988F169" w14:textId="77777777" w:rsidR="00924C80" w:rsidRPr="00DB09D7" w:rsidRDefault="00867B23" w:rsidP="00E75054">
      <w:pPr>
        <w:pStyle w:val="Heading1"/>
      </w:pPr>
      <w:bookmarkStart w:id="99" w:name="_Toc300933452"/>
      <w:bookmarkStart w:id="100" w:name="_Toc49174705"/>
      <w:bookmarkEnd w:id="91"/>
      <w:bookmarkEnd w:id="92"/>
      <w:bookmarkEnd w:id="93"/>
      <w:r w:rsidRPr="00DB09D7">
        <w:t>4</w:t>
      </w:r>
      <w:r w:rsidR="00924C80" w:rsidRPr="00DB09D7">
        <w:tab/>
        <w:t>R</w:t>
      </w:r>
      <w:bookmarkEnd w:id="99"/>
      <w:r w:rsidR="006C28E2" w:rsidRPr="00DB09D7">
        <w:t>eferences</w:t>
      </w:r>
      <w:bookmarkEnd w:id="100"/>
    </w:p>
    <w:bookmarkEnd w:id="94"/>
    <w:bookmarkEnd w:id="95"/>
    <w:bookmarkEnd w:id="96"/>
    <w:bookmarkEnd w:id="97"/>
    <w:bookmarkEnd w:id="98"/>
    <w:p w14:paraId="005664B7" w14:textId="0F200B4F" w:rsidR="000F3D86" w:rsidRDefault="000F3D86" w:rsidP="000F3D86">
      <w:pPr>
        <w:spacing w:after="60"/>
        <w:rPr>
          <w:sz w:val="20"/>
        </w:rPr>
      </w:pPr>
      <w:r w:rsidRPr="00B818AF">
        <w:rPr>
          <w:sz w:val="20"/>
        </w:rPr>
        <w:t>Chassy BM (2010) Can -omics inform a</w:t>
      </w:r>
      <w:r>
        <w:rPr>
          <w:sz w:val="20"/>
        </w:rPr>
        <w:t xml:space="preserve"> food safety assessment? Regul Toxicol Pharmacol 58:S2-7</w:t>
      </w:r>
    </w:p>
    <w:p w14:paraId="607C3A8F" w14:textId="7A70BC35" w:rsidR="000F3D86" w:rsidRPr="009B1322" w:rsidRDefault="000F3D86" w:rsidP="000F3D86">
      <w:pPr>
        <w:spacing w:after="60"/>
        <w:rPr>
          <w:sz w:val="20"/>
        </w:rPr>
      </w:pPr>
      <w:r w:rsidRPr="00B818AF">
        <w:rPr>
          <w:sz w:val="20"/>
        </w:rPr>
        <w:t xml:space="preserve">Cellini F, Chesson A, Colquhoun I, </w:t>
      </w:r>
      <w:r w:rsidRPr="002A1D53">
        <w:rPr>
          <w:i/>
          <w:sz w:val="20"/>
        </w:rPr>
        <w:t>et al</w:t>
      </w:r>
      <w:r w:rsidRPr="00B818AF">
        <w:rPr>
          <w:sz w:val="20"/>
        </w:rPr>
        <w:t xml:space="preserve"> (2004) Unintended effects and their detection in genetically modified crops. Food Chem Toxicol 42:1089–1125</w:t>
      </w:r>
    </w:p>
    <w:p w14:paraId="1A42A07D" w14:textId="22C6FCC5" w:rsidR="00DB09D7" w:rsidRDefault="00DB09D7" w:rsidP="00DB09D7">
      <w:pPr>
        <w:spacing w:after="120"/>
        <w:rPr>
          <w:rStyle w:val="Hyperlink"/>
          <w:sz w:val="20"/>
          <w:szCs w:val="20"/>
          <w:lang w:bidi="ar-SA"/>
        </w:rPr>
      </w:pPr>
      <w:r w:rsidRPr="003F5945">
        <w:rPr>
          <w:sz w:val="20"/>
          <w:szCs w:val="20"/>
          <w:lang w:bidi="ar-SA"/>
        </w:rPr>
        <w:t>C</w:t>
      </w:r>
      <w:r>
        <w:rPr>
          <w:sz w:val="20"/>
          <w:szCs w:val="20"/>
          <w:lang w:bidi="ar-SA"/>
        </w:rPr>
        <w:t>odex (2009</w:t>
      </w:r>
      <w:r w:rsidR="007D5E6D">
        <w:rPr>
          <w:sz w:val="20"/>
          <w:szCs w:val="20"/>
          <w:lang w:bidi="ar-SA"/>
        </w:rPr>
        <w:t>a</w:t>
      </w:r>
      <w:r w:rsidRPr="003F5945">
        <w:rPr>
          <w:sz w:val="20"/>
          <w:szCs w:val="20"/>
          <w:lang w:bidi="ar-SA"/>
        </w:rPr>
        <w:t xml:space="preserve">) Principles for the risk analysis of foods derived from modern biotechnology. CAC/GL 44-2003. Codex Alimentarius Commission, Rome. </w:t>
      </w:r>
      <w:hyperlink r:id="rId27" w:history="1">
        <w:r w:rsidRPr="001D61F9">
          <w:rPr>
            <w:rStyle w:val="Hyperlink"/>
            <w:sz w:val="20"/>
            <w:szCs w:val="20"/>
            <w:lang w:bidi="ar-SA"/>
          </w:rPr>
          <w:t>http://www.fao.org/3/a1554e/a1554e00.htm</w:t>
        </w:r>
      </w:hyperlink>
    </w:p>
    <w:p w14:paraId="46DBDAD9" w14:textId="76DF5512" w:rsidR="007D5E6D" w:rsidRDefault="007D5E6D" w:rsidP="007D5E6D">
      <w:pPr>
        <w:spacing w:before="80" w:after="60"/>
        <w:rPr>
          <w:rStyle w:val="Hyperlink"/>
          <w:sz w:val="20"/>
          <w:szCs w:val="20"/>
          <w:lang w:bidi="ar-SA"/>
        </w:rPr>
      </w:pPr>
      <w:r>
        <w:rPr>
          <w:sz w:val="20"/>
        </w:rPr>
        <w:t xml:space="preserve">Codex (2009b) </w:t>
      </w:r>
      <w:r w:rsidRPr="0002576A">
        <w:rPr>
          <w:sz w:val="20"/>
        </w:rPr>
        <w:t>Guideline for the conduct of food safety assessment of foods derived from recombinant-DNA plants</w:t>
      </w:r>
      <w:r>
        <w:rPr>
          <w:sz w:val="20"/>
        </w:rPr>
        <w:t xml:space="preserve">. </w:t>
      </w:r>
      <w:r>
        <w:rPr>
          <w:sz w:val="20"/>
          <w:szCs w:val="20"/>
          <w:lang w:bidi="ar-SA"/>
        </w:rPr>
        <w:t>CAC/GL 45</w:t>
      </w:r>
      <w:r w:rsidRPr="003F5945">
        <w:rPr>
          <w:sz w:val="20"/>
          <w:szCs w:val="20"/>
          <w:lang w:bidi="ar-SA"/>
        </w:rPr>
        <w:t>-2003</w:t>
      </w:r>
      <w:r>
        <w:rPr>
          <w:sz w:val="20"/>
          <w:szCs w:val="20"/>
          <w:lang w:bidi="ar-SA"/>
        </w:rPr>
        <w:t>.</w:t>
      </w:r>
      <w:r>
        <w:rPr>
          <w:sz w:val="20"/>
        </w:rPr>
        <w:t xml:space="preserve"> </w:t>
      </w:r>
      <w:r w:rsidRPr="0002576A">
        <w:rPr>
          <w:sz w:val="20"/>
        </w:rPr>
        <w:t>Codex Alimentarius Commission</w:t>
      </w:r>
      <w:r>
        <w:rPr>
          <w:sz w:val="20"/>
        </w:rPr>
        <w:t xml:space="preserve">, Rome. </w:t>
      </w:r>
      <w:hyperlink r:id="rId28" w:history="1">
        <w:r w:rsidRPr="001D61F9">
          <w:rPr>
            <w:rStyle w:val="Hyperlink"/>
            <w:sz w:val="20"/>
            <w:szCs w:val="20"/>
            <w:lang w:bidi="ar-SA"/>
          </w:rPr>
          <w:t>http://www.fao.org/3/a1554e/a1554e00.htm</w:t>
        </w:r>
      </w:hyperlink>
    </w:p>
    <w:p w14:paraId="2ADC1960" w14:textId="70115B15" w:rsidR="00C566F2" w:rsidRDefault="001F4002" w:rsidP="00D66AF5">
      <w:pPr>
        <w:spacing w:after="120"/>
        <w:rPr>
          <w:rFonts w:cs="Arial"/>
          <w:sz w:val="20"/>
          <w:szCs w:val="20"/>
        </w:rPr>
      </w:pPr>
      <w:r>
        <w:rPr>
          <w:rFonts w:cs="Arial"/>
          <w:sz w:val="20"/>
          <w:szCs w:val="20"/>
        </w:rPr>
        <w:t xml:space="preserve">The Food Database (FooDB) </w:t>
      </w:r>
      <w:r w:rsidRPr="001F4002">
        <w:rPr>
          <w:rFonts w:cs="Arial"/>
          <w:sz w:val="20"/>
          <w:szCs w:val="20"/>
        </w:rPr>
        <w:t>Aminoadipic acid (FDB021812)</w:t>
      </w:r>
      <w:r w:rsidR="00C566F2">
        <w:rPr>
          <w:rFonts w:cs="Arial"/>
          <w:sz w:val="20"/>
          <w:szCs w:val="20"/>
        </w:rPr>
        <w:t xml:space="preserve">. </w:t>
      </w:r>
      <w:hyperlink r:id="rId29" w:anchor="references" w:history="1">
        <w:r w:rsidR="00C566F2" w:rsidRPr="00172E73">
          <w:rPr>
            <w:rStyle w:val="Hyperlink"/>
            <w:rFonts w:cs="Arial"/>
            <w:sz w:val="20"/>
            <w:szCs w:val="20"/>
          </w:rPr>
          <w:t>https://foodb.ca/compounds/FDB021812#references</w:t>
        </w:r>
      </w:hyperlink>
      <w:r w:rsidR="00C566F2">
        <w:rPr>
          <w:rFonts w:cs="Arial"/>
          <w:sz w:val="20"/>
          <w:szCs w:val="20"/>
        </w:rPr>
        <w:t>. Last updated 26 November 2019. Accessed July 2020.</w:t>
      </w:r>
    </w:p>
    <w:p w14:paraId="3FA43574" w14:textId="63532F16" w:rsidR="00D66AF5" w:rsidRPr="00D66AF5" w:rsidRDefault="00D66AF5" w:rsidP="00D66AF5">
      <w:pPr>
        <w:spacing w:after="120"/>
        <w:rPr>
          <w:rFonts w:cs="Arial"/>
          <w:sz w:val="20"/>
          <w:szCs w:val="20"/>
        </w:rPr>
      </w:pPr>
      <w:r w:rsidRPr="00586B7A">
        <w:rPr>
          <w:rFonts w:cs="Arial"/>
          <w:sz w:val="20"/>
          <w:szCs w:val="20"/>
        </w:rPr>
        <w:t xml:space="preserve">FSANZ (2013) Response to Heinemann </w:t>
      </w:r>
      <w:r w:rsidRPr="00586B7A">
        <w:rPr>
          <w:rFonts w:cs="Arial"/>
          <w:i/>
          <w:sz w:val="20"/>
          <w:szCs w:val="20"/>
        </w:rPr>
        <w:t>et al</w:t>
      </w:r>
      <w:r w:rsidRPr="00586B7A">
        <w:rPr>
          <w:rFonts w:cs="Arial"/>
          <w:sz w:val="20"/>
          <w:szCs w:val="20"/>
        </w:rPr>
        <w:t xml:space="preserve"> on the regulation of GM crops and foods developed using gene silencing. Food Standards Australia New Zealand, Canberra. </w:t>
      </w:r>
      <w:hyperlink r:id="rId30" w:history="1">
        <w:r w:rsidRPr="00586B7A">
          <w:rPr>
            <w:rStyle w:val="Hyperlink"/>
            <w:sz w:val="20"/>
            <w:szCs w:val="20"/>
          </w:rPr>
          <w:t>http://www.foodstandards.gov.au/consumer/gmfood/Pages/Response-to-Heinemann-et-al-on-the-regulation-of-GM-crops-and-foods-developed-using-gene-silencing.aspx</w:t>
        </w:r>
      </w:hyperlink>
      <w:r>
        <w:rPr>
          <w:rFonts w:cs="Arial"/>
          <w:sz w:val="20"/>
          <w:szCs w:val="20"/>
        </w:rPr>
        <w:t>.</w:t>
      </w:r>
      <w:r w:rsidRPr="00586B7A">
        <w:rPr>
          <w:rFonts w:cs="Arial"/>
          <w:sz w:val="20"/>
          <w:szCs w:val="20"/>
        </w:rPr>
        <w:t xml:space="preserve"> Accessed </w:t>
      </w:r>
      <w:r>
        <w:rPr>
          <w:rFonts w:cs="Arial"/>
          <w:sz w:val="20"/>
          <w:szCs w:val="20"/>
        </w:rPr>
        <w:t>July</w:t>
      </w:r>
      <w:r w:rsidRPr="00586B7A">
        <w:rPr>
          <w:rFonts w:cs="Arial"/>
          <w:sz w:val="20"/>
          <w:szCs w:val="20"/>
        </w:rPr>
        <w:t xml:space="preserve"> 2020. </w:t>
      </w:r>
    </w:p>
    <w:p w14:paraId="27B96F98" w14:textId="4B96EA1A" w:rsidR="00F81B81" w:rsidRDefault="00F81B81" w:rsidP="00061D48">
      <w:pPr>
        <w:spacing w:before="80" w:after="60"/>
        <w:rPr>
          <w:sz w:val="20"/>
        </w:rPr>
      </w:pPr>
      <w:r>
        <w:rPr>
          <w:sz w:val="20"/>
        </w:rPr>
        <w:t xml:space="preserve">FSANZ (2017) A1139 – Food derived from potato lines F10, J3, W8. X17 &amp; Y9. </w:t>
      </w:r>
      <w:hyperlink r:id="rId31" w:history="1">
        <w:r w:rsidRPr="0095079A">
          <w:rPr>
            <w:rStyle w:val="Hyperlink"/>
            <w:sz w:val="20"/>
          </w:rPr>
          <w:t>https://www.foodstandards.gov.au/code/applications/Pages/A1139.aspx</w:t>
        </w:r>
      </w:hyperlink>
      <w:r>
        <w:rPr>
          <w:sz w:val="20"/>
        </w:rPr>
        <w:t xml:space="preserve">. </w:t>
      </w:r>
      <w:r w:rsidRPr="00586B7A">
        <w:rPr>
          <w:rFonts w:cs="Arial"/>
          <w:sz w:val="20"/>
          <w:szCs w:val="20"/>
        </w:rPr>
        <w:t xml:space="preserve">Accessed </w:t>
      </w:r>
      <w:r>
        <w:rPr>
          <w:rFonts w:cs="Arial"/>
          <w:sz w:val="20"/>
          <w:szCs w:val="20"/>
        </w:rPr>
        <w:t>July</w:t>
      </w:r>
      <w:r w:rsidRPr="00586B7A">
        <w:rPr>
          <w:rFonts w:cs="Arial"/>
          <w:sz w:val="20"/>
          <w:szCs w:val="20"/>
        </w:rPr>
        <w:t xml:space="preserve"> 2020</w:t>
      </w:r>
    </w:p>
    <w:p w14:paraId="3DBFABE0" w14:textId="55D53796" w:rsidR="007330CD" w:rsidRDefault="007330CD" w:rsidP="00061D48">
      <w:pPr>
        <w:spacing w:before="80" w:after="60"/>
        <w:rPr>
          <w:rStyle w:val="Hyperlink"/>
          <w:sz w:val="20"/>
        </w:rPr>
      </w:pPr>
      <w:r>
        <w:rPr>
          <w:sz w:val="20"/>
        </w:rPr>
        <w:t xml:space="preserve">FSANZ (2019) Final report – Review of food derived using new breeding techniques. </w:t>
      </w:r>
      <w:hyperlink r:id="rId32" w:history="1">
        <w:r w:rsidRPr="002052B7">
          <w:rPr>
            <w:rStyle w:val="Hyperlink"/>
            <w:sz w:val="20"/>
          </w:rPr>
          <w:t>https://www.foodstandards.gov.au/consumer/gmfood/Documents/NBT%20Final%20report.pdf</w:t>
        </w:r>
      </w:hyperlink>
      <w:r w:rsidR="00F81B81">
        <w:rPr>
          <w:rStyle w:val="Hyperlink"/>
          <w:sz w:val="20"/>
        </w:rPr>
        <w:t>.</w:t>
      </w:r>
      <w:r w:rsidR="00F81B81" w:rsidRPr="00F81B81">
        <w:rPr>
          <w:rFonts w:cs="Arial"/>
          <w:sz w:val="20"/>
          <w:szCs w:val="20"/>
        </w:rPr>
        <w:t xml:space="preserve"> </w:t>
      </w:r>
      <w:r w:rsidR="00F81B81" w:rsidRPr="00586B7A">
        <w:rPr>
          <w:rFonts w:cs="Arial"/>
          <w:sz w:val="20"/>
          <w:szCs w:val="20"/>
        </w:rPr>
        <w:t xml:space="preserve">Accessed </w:t>
      </w:r>
      <w:r w:rsidR="00F81B81">
        <w:rPr>
          <w:rFonts w:cs="Arial"/>
          <w:sz w:val="20"/>
          <w:szCs w:val="20"/>
        </w:rPr>
        <w:t>July</w:t>
      </w:r>
      <w:r w:rsidR="00F81B81" w:rsidRPr="00586B7A">
        <w:rPr>
          <w:rFonts w:cs="Arial"/>
          <w:sz w:val="20"/>
          <w:szCs w:val="20"/>
        </w:rPr>
        <w:t xml:space="preserve"> 2020</w:t>
      </w:r>
    </w:p>
    <w:p w14:paraId="3D29679F" w14:textId="3E97ABE4" w:rsidR="000F3D86" w:rsidRDefault="000F3D86" w:rsidP="000F3D86">
      <w:pPr>
        <w:spacing w:after="60"/>
        <w:rPr>
          <w:sz w:val="20"/>
        </w:rPr>
      </w:pPr>
      <w:r w:rsidRPr="00B818AF">
        <w:rPr>
          <w:sz w:val="20"/>
        </w:rPr>
        <w:t xml:space="preserve">Gong CY, Wang T (2013) Proteomic evaluation of genetically modified crops: current </w:t>
      </w:r>
      <w:r>
        <w:rPr>
          <w:sz w:val="20"/>
        </w:rPr>
        <w:t>status and challenges. Front</w:t>
      </w:r>
      <w:r w:rsidRPr="00B818AF">
        <w:rPr>
          <w:sz w:val="20"/>
        </w:rPr>
        <w:t xml:space="preserve"> Plant Sci 4:41</w:t>
      </w:r>
    </w:p>
    <w:p w14:paraId="26D173AB" w14:textId="4114930B" w:rsidR="007330CD" w:rsidRDefault="007330CD" w:rsidP="007330CD">
      <w:pPr>
        <w:spacing w:before="80" w:after="60"/>
        <w:rPr>
          <w:sz w:val="20"/>
        </w:rPr>
      </w:pPr>
      <w:r>
        <w:rPr>
          <w:sz w:val="20"/>
        </w:rPr>
        <w:t xml:space="preserve">Herman RA, Price WD (2013) </w:t>
      </w:r>
      <w:r w:rsidRPr="00452E5A">
        <w:rPr>
          <w:sz w:val="20"/>
        </w:rPr>
        <w:t>Unintended Compositional Changes in Genetically Modified (GM) Crops: 20 Years of Research</w:t>
      </w:r>
      <w:r>
        <w:rPr>
          <w:sz w:val="20"/>
        </w:rPr>
        <w:t>. J. Agric. Food Chem</w:t>
      </w:r>
      <w:r w:rsidRPr="00452E5A">
        <w:rPr>
          <w:sz w:val="20"/>
        </w:rPr>
        <w:t xml:space="preserve"> </w:t>
      </w:r>
      <w:r>
        <w:rPr>
          <w:sz w:val="20"/>
        </w:rPr>
        <w:t>61(48):</w:t>
      </w:r>
      <w:r w:rsidRPr="00452E5A">
        <w:rPr>
          <w:sz w:val="20"/>
        </w:rPr>
        <w:t>11695–11701</w:t>
      </w:r>
    </w:p>
    <w:p w14:paraId="38476243" w14:textId="7FA096FE" w:rsidR="00C06A0F" w:rsidRDefault="00C06A0F" w:rsidP="00832601">
      <w:pPr>
        <w:spacing w:after="120"/>
        <w:rPr>
          <w:sz w:val="20"/>
        </w:rPr>
      </w:pPr>
      <w:r>
        <w:rPr>
          <w:sz w:val="20"/>
        </w:rPr>
        <w:t>Ioannou I, Ghoul M (2013) Prevention of enzymatic browning in fruit and vegetables. European Scientific Journal. 9(30):310-341</w:t>
      </w:r>
    </w:p>
    <w:p w14:paraId="4ECD9A8A" w14:textId="321FA44A" w:rsidR="007330CD" w:rsidRDefault="007330CD" w:rsidP="007330CD">
      <w:pPr>
        <w:spacing w:before="80" w:after="60"/>
        <w:rPr>
          <w:sz w:val="20"/>
        </w:rPr>
      </w:pPr>
      <w:r>
        <w:rPr>
          <w:sz w:val="20"/>
        </w:rPr>
        <w:t xml:space="preserve">Ladics GS, Bartholomaeus A (2015) </w:t>
      </w:r>
      <w:r w:rsidRPr="00EC3954">
        <w:rPr>
          <w:sz w:val="20"/>
        </w:rPr>
        <w:t xml:space="preserve">Genetic basis and </w:t>
      </w:r>
      <w:r>
        <w:rPr>
          <w:sz w:val="20"/>
        </w:rPr>
        <w:t xml:space="preserve">detection of unintended effects </w:t>
      </w:r>
      <w:r w:rsidRPr="00EC3954">
        <w:rPr>
          <w:sz w:val="20"/>
        </w:rPr>
        <w:t xml:space="preserve">in genetically </w:t>
      </w:r>
      <w:r w:rsidRPr="00C01290">
        <w:rPr>
          <w:sz w:val="20"/>
        </w:rPr>
        <w:t>modified crop plants. Transgenic Res 24:587–603</w:t>
      </w:r>
    </w:p>
    <w:p w14:paraId="7BFB92CA" w14:textId="04B07022" w:rsidR="00A64130" w:rsidRDefault="00A64130" w:rsidP="007330CD">
      <w:pPr>
        <w:spacing w:before="80" w:after="60"/>
        <w:rPr>
          <w:sz w:val="20"/>
        </w:rPr>
      </w:pPr>
      <w:r>
        <w:rPr>
          <w:sz w:val="20"/>
        </w:rPr>
        <w:t>Llorente B, Alonso GD, Bravo-Almonacid F, Rodríguez</w:t>
      </w:r>
      <w:r w:rsidRPr="00A64130">
        <w:rPr>
          <w:sz w:val="20"/>
        </w:rPr>
        <w:t xml:space="preserve"> V</w:t>
      </w:r>
      <w:r>
        <w:rPr>
          <w:sz w:val="20"/>
        </w:rPr>
        <w:t>, López MG, Carrari F, Torres HN,</w:t>
      </w:r>
      <w:r w:rsidRPr="00A64130">
        <w:rPr>
          <w:sz w:val="20"/>
        </w:rPr>
        <w:t xml:space="preserve"> Flawiá</w:t>
      </w:r>
      <w:r>
        <w:rPr>
          <w:sz w:val="20"/>
        </w:rPr>
        <w:t xml:space="preserve"> MM (2011)</w:t>
      </w:r>
      <w:r w:rsidRPr="00A64130">
        <w:rPr>
          <w:sz w:val="20"/>
        </w:rPr>
        <w:t xml:space="preserve"> Safety Assessment of Nonbrowning Potatoes: Opening the Discussion about the Relevance of Substantial Equivalence on next Generation Biotech Crops. Plant Biotechnology Journal 9</w:t>
      </w:r>
      <w:r>
        <w:rPr>
          <w:sz w:val="20"/>
        </w:rPr>
        <w:t>:136–150</w:t>
      </w:r>
    </w:p>
    <w:p w14:paraId="23549137" w14:textId="031FD89A" w:rsidR="001A0C9F" w:rsidRDefault="001A0C9F" w:rsidP="007330CD">
      <w:pPr>
        <w:spacing w:before="80" w:after="60"/>
        <w:rPr>
          <w:sz w:val="20"/>
        </w:rPr>
      </w:pPr>
      <w:r w:rsidRPr="001A0C9F">
        <w:rPr>
          <w:sz w:val="20"/>
        </w:rPr>
        <w:t>Llorente B, López MG, Carrari F, Asís R, Di Paola Naranjo RD, Flawiá M</w:t>
      </w:r>
      <w:r w:rsidR="00D05B15">
        <w:rPr>
          <w:sz w:val="20"/>
        </w:rPr>
        <w:t>M, Alonso GD, Bravo-Almonacid F (2014)</w:t>
      </w:r>
      <w:r w:rsidRPr="001A0C9F">
        <w:rPr>
          <w:sz w:val="20"/>
        </w:rPr>
        <w:t xml:space="preserve"> Downregulation of polyphenol oxidase in potato tubers redirects phenylpropanoid metabolism enhancing chlorogenate content and late blight resistance. Molecular Breeding 34:2049–2063</w:t>
      </w:r>
    </w:p>
    <w:p w14:paraId="3880B7B5" w14:textId="4DF98EF0" w:rsidR="00054AEF" w:rsidRDefault="00054AEF" w:rsidP="007330CD">
      <w:pPr>
        <w:spacing w:before="80" w:after="60"/>
        <w:rPr>
          <w:sz w:val="20"/>
        </w:rPr>
      </w:pPr>
      <w:r w:rsidRPr="00054AEF">
        <w:rPr>
          <w:sz w:val="20"/>
        </w:rPr>
        <w:t>McCue, K.F., Allen, P. V., Shepherd, L.V.T., Blake, A., Malendia Maccree, M., Rockhold, D.R., Novy, R.G., Stewart, D., Davies, H. V., and Belknap, W.R. (2007). Potato Glycosterol Rhamnosyltransferase, the Terminal Step in Triose Side-Chain Biosynthesis. Phytochemistry 68</w:t>
      </w:r>
      <w:r>
        <w:rPr>
          <w:sz w:val="20"/>
        </w:rPr>
        <w:t>, 327–334</w:t>
      </w:r>
    </w:p>
    <w:p w14:paraId="02EE6D6C" w14:textId="2F0A87B2" w:rsidR="00E32AF6" w:rsidRDefault="00E32AF6" w:rsidP="00E32AF6">
      <w:pPr>
        <w:spacing w:before="80" w:after="60"/>
        <w:rPr>
          <w:sz w:val="20"/>
        </w:rPr>
      </w:pPr>
      <w:r w:rsidRPr="00E32AF6">
        <w:rPr>
          <w:sz w:val="20"/>
        </w:rPr>
        <w:t>Moon MM, Kwon EB, Lee B, Kim CY (2020) Recent trends in controlling the enzymatic browning of fruit and vegetable products. Molec</w:t>
      </w:r>
      <w:r>
        <w:rPr>
          <w:sz w:val="20"/>
        </w:rPr>
        <w:t>ules. 20:2754</w:t>
      </w:r>
    </w:p>
    <w:p w14:paraId="42047448" w14:textId="38CAEA62" w:rsidR="00E32AF6" w:rsidRPr="001A0C9F" w:rsidRDefault="00E32AF6" w:rsidP="00E32AF6">
      <w:pPr>
        <w:spacing w:before="80" w:after="60"/>
        <w:rPr>
          <w:sz w:val="20"/>
        </w:rPr>
      </w:pPr>
      <w:r w:rsidRPr="001A0C9F">
        <w:rPr>
          <w:sz w:val="20"/>
        </w:rPr>
        <w:t>Moret, S., Smela, D., Populin, T., and Conte, L.S. (2005). A Survey on Free Biogenic Amine Content of Fresh and Preserved Vegetables. Food Chemistry 89, 355–361</w:t>
      </w:r>
    </w:p>
    <w:p w14:paraId="4D047CE8" w14:textId="0C34F609" w:rsidR="00E32AF6" w:rsidRDefault="00E32AF6" w:rsidP="00E32AF6">
      <w:pPr>
        <w:spacing w:before="80" w:after="60"/>
        <w:rPr>
          <w:sz w:val="20"/>
        </w:rPr>
      </w:pPr>
      <w:r w:rsidRPr="00E32AF6">
        <w:rPr>
          <w:sz w:val="20"/>
        </w:rPr>
        <w:t>Paulsen, P., Grossgut, R., Bauer, F., and Rauscher-Gabernig, E. (2012). Estimates of Maximum Tolerable Levels of Tyramine Content in Foods in Austria. Journal of Food and Nutrition Research 51, 52–59</w:t>
      </w:r>
    </w:p>
    <w:p w14:paraId="590B72DE" w14:textId="77777777" w:rsidR="001A0C9F" w:rsidRPr="001A0C9F" w:rsidRDefault="001A0C9F" w:rsidP="001A0C9F">
      <w:pPr>
        <w:spacing w:before="80" w:after="60"/>
        <w:rPr>
          <w:sz w:val="20"/>
        </w:rPr>
      </w:pPr>
      <w:r w:rsidRPr="001A0C9F">
        <w:rPr>
          <w:sz w:val="20"/>
        </w:rPr>
        <w:t xml:space="preserve">Payyavula RS, Navarre DA, Kuhl JC, Pantoja A, Pillai SS. (2012) Differential effects of environment on potato phenylpropanoid and carotenoid expression. BMC Plant Biol. 12(39) </w:t>
      </w:r>
    </w:p>
    <w:p w14:paraId="326E2C78" w14:textId="3C749737" w:rsidR="00C52C46" w:rsidRDefault="00C52C46" w:rsidP="007330CD">
      <w:pPr>
        <w:spacing w:before="80" w:after="60"/>
        <w:rPr>
          <w:sz w:val="20"/>
        </w:rPr>
      </w:pPr>
      <w:r w:rsidRPr="00C52C46">
        <w:rPr>
          <w:sz w:val="20"/>
        </w:rPr>
        <w:t>Red</w:t>
      </w:r>
      <w:r>
        <w:rPr>
          <w:sz w:val="20"/>
        </w:rPr>
        <w:t>divari L, Hale AL, Miller JC Jr (2007)</w:t>
      </w:r>
      <w:r w:rsidRPr="00C52C46">
        <w:rPr>
          <w:sz w:val="20"/>
        </w:rPr>
        <w:t xml:space="preserve"> Genotype, location, and year influence antioxidant activity, carotenoid content, phenolic content, and composition in specialty potatoes. J Agric Food Chem.</w:t>
      </w:r>
      <w:r>
        <w:rPr>
          <w:sz w:val="20"/>
        </w:rPr>
        <w:t xml:space="preserve"> </w:t>
      </w:r>
      <w:r w:rsidRPr="00C52C46">
        <w:rPr>
          <w:sz w:val="20"/>
        </w:rPr>
        <w:t>55(20):8073–8079</w:t>
      </w:r>
      <w:r w:rsidRPr="00B818AF">
        <w:rPr>
          <w:sz w:val="20"/>
        </w:rPr>
        <w:t xml:space="preserve"> </w:t>
      </w:r>
    </w:p>
    <w:p w14:paraId="2F1C8D81" w14:textId="6C37C42F" w:rsidR="007330CD" w:rsidRDefault="007330CD" w:rsidP="007330CD">
      <w:pPr>
        <w:spacing w:before="80" w:after="60"/>
        <w:rPr>
          <w:sz w:val="20"/>
        </w:rPr>
      </w:pPr>
      <w:r w:rsidRPr="00B818AF">
        <w:rPr>
          <w:sz w:val="20"/>
        </w:rPr>
        <w:t>Ricroch AE (2013) Assessment of GE food safety using '-omics' techniques and long-</w:t>
      </w:r>
      <w:r>
        <w:rPr>
          <w:sz w:val="20"/>
        </w:rPr>
        <w:t>term animal feeding studies. N</w:t>
      </w:r>
      <w:r w:rsidRPr="00B818AF">
        <w:rPr>
          <w:sz w:val="20"/>
        </w:rPr>
        <w:t xml:space="preserve"> Biotechnol 30(4):349–354</w:t>
      </w:r>
    </w:p>
    <w:p w14:paraId="69C6FD52" w14:textId="11817DEF" w:rsidR="00FA4E61" w:rsidRPr="00EF7F79" w:rsidRDefault="00FA4E61" w:rsidP="007330CD">
      <w:pPr>
        <w:spacing w:before="80" w:after="60"/>
        <w:rPr>
          <w:sz w:val="20"/>
        </w:rPr>
      </w:pPr>
      <w:r w:rsidRPr="00B818AF">
        <w:rPr>
          <w:sz w:val="20"/>
        </w:rPr>
        <w:t xml:space="preserve">Ricroch AE, Boisron A, Kuntz M (2014) Looking back at safety assessment of GM food/feed: an exhaustive review of 90-day animal feeding </w:t>
      </w:r>
      <w:r>
        <w:rPr>
          <w:sz w:val="20"/>
        </w:rPr>
        <w:t>studies. Int</w:t>
      </w:r>
      <w:r w:rsidRPr="00B818AF">
        <w:rPr>
          <w:sz w:val="20"/>
        </w:rPr>
        <w:t xml:space="preserve"> J Biotechnol 13(4):230–256</w:t>
      </w:r>
    </w:p>
    <w:p w14:paraId="4549C569" w14:textId="34D9707D" w:rsidR="00D8627B" w:rsidRPr="00D8627B" w:rsidRDefault="00D8627B" w:rsidP="00D8627B">
      <w:pPr>
        <w:spacing w:before="80" w:after="60"/>
        <w:rPr>
          <w:sz w:val="20"/>
        </w:rPr>
      </w:pPr>
      <w:r w:rsidRPr="00D8627B">
        <w:rPr>
          <w:sz w:val="20"/>
        </w:rPr>
        <w:t xml:space="preserve">Shepherd LV, Alexander CJ, Hackett CA, McRae D, Sungurtas JA, Verrall SR, Morris JA, Hedley PE, Rockhold D, Belknap W, Davies HV (2015) Impacts on the metabolome of down-regulating polyphenol oxidase in potato tubers. Transgenic Res. </w:t>
      </w:r>
      <w:r>
        <w:rPr>
          <w:sz w:val="20"/>
        </w:rPr>
        <w:t>24(3):447-61</w:t>
      </w:r>
    </w:p>
    <w:p w14:paraId="77A892EB" w14:textId="4108FAB2" w:rsidR="00FA4E61" w:rsidRDefault="00FA4E61" w:rsidP="00FA4E61">
      <w:pPr>
        <w:spacing w:before="80" w:after="60"/>
        <w:rPr>
          <w:sz w:val="20"/>
        </w:rPr>
      </w:pPr>
      <w:r w:rsidRPr="00B818AF">
        <w:rPr>
          <w:sz w:val="20"/>
        </w:rPr>
        <w:t xml:space="preserve">Snell C, Bernheim A, Bergé J, </w:t>
      </w:r>
      <w:r w:rsidRPr="00F775C6">
        <w:rPr>
          <w:sz w:val="20"/>
        </w:rPr>
        <w:t>et al</w:t>
      </w:r>
      <w:r w:rsidRPr="00B818AF">
        <w:rPr>
          <w:sz w:val="20"/>
        </w:rPr>
        <w:t xml:space="preserve"> (2012) Assessment of the health impact of GM plant diets in long-term and multigenerational animal feeding trials: A literature review. Food Chem Toxicol 50(34):1134–1148</w:t>
      </w:r>
    </w:p>
    <w:p w14:paraId="2F32D5F4" w14:textId="66196F94" w:rsidR="007E657B" w:rsidRDefault="007E657B" w:rsidP="00FA4E61">
      <w:pPr>
        <w:spacing w:before="80" w:after="60"/>
        <w:rPr>
          <w:sz w:val="20"/>
        </w:rPr>
      </w:pPr>
      <w:r w:rsidRPr="007E657B">
        <w:rPr>
          <w:sz w:val="20"/>
        </w:rPr>
        <w:t>World Health Organization, Food and Agriculture Organization of the United Nations &amp; Joint FAO/WHO Expert Committee on Food Additives. Meeti</w:t>
      </w:r>
      <w:r>
        <w:rPr>
          <w:sz w:val="20"/>
        </w:rPr>
        <w:t>ng (‎80th: 2015, Rome, Italy)‎ (‎2016)‎</w:t>
      </w:r>
      <w:r w:rsidRPr="007E657B">
        <w:rPr>
          <w:sz w:val="20"/>
        </w:rPr>
        <w:t xml:space="preserve"> Evaluation of certain food additives and contaminants: eightieth report of the Joint FAO/WHO Expert Committee on Food Additives. World Health Organization.</w:t>
      </w:r>
      <w:r w:rsidRPr="007E657B">
        <w:t xml:space="preserve"> </w:t>
      </w:r>
      <w:hyperlink r:id="rId33" w:history="1">
        <w:r w:rsidRPr="00202E50">
          <w:rPr>
            <w:rStyle w:val="Hyperlink"/>
            <w:sz w:val="20"/>
          </w:rPr>
          <w:t>https://apps.who.int/iris/handle/10665/204410</w:t>
        </w:r>
      </w:hyperlink>
    </w:p>
    <w:p w14:paraId="75015A0B" w14:textId="77777777" w:rsidR="005752CB" w:rsidRPr="005752CB" w:rsidRDefault="005752CB" w:rsidP="005752CB">
      <w:pPr>
        <w:spacing w:before="80" w:after="60"/>
        <w:rPr>
          <w:sz w:val="20"/>
        </w:rPr>
      </w:pPr>
      <w:r w:rsidRPr="005752CB">
        <w:rPr>
          <w:sz w:val="20"/>
        </w:rPr>
        <w:t>Zhu X, Tang G, Galili G (2000) The catabolic function of the alpha-aminoadipic acid pathway in plants is associated with unidirectional activity of lysine-oxoglutarate reductase, but not saccharopine dehydrogenase. Biochem J. 351(1):215-220</w:t>
      </w:r>
    </w:p>
    <w:p w14:paraId="08A7D56E" w14:textId="7BD3ED2C" w:rsidR="00A27FEE" w:rsidRPr="00832601" w:rsidRDefault="00A27FEE" w:rsidP="00FD694C">
      <w:pPr>
        <w:spacing w:before="80" w:after="60"/>
        <w:rPr>
          <w:sz w:val="20"/>
        </w:rPr>
      </w:pPr>
    </w:p>
    <w:p w14:paraId="10E9C282" w14:textId="77777777" w:rsidR="003C4969" w:rsidRPr="00924C80" w:rsidRDefault="00924C80" w:rsidP="00A75CB6">
      <w:pPr>
        <w:spacing w:before="240" w:after="240"/>
        <w:rPr>
          <w:b/>
          <w:sz w:val="28"/>
          <w:szCs w:val="28"/>
        </w:rPr>
      </w:pPr>
      <w:r w:rsidRPr="00924C80">
        <w:rPr>
          <w:b/>
          <w:sz w:val="28"/>
          <w:szCs w:val="28"/>
        </w:rPr>
        <w:t>A</w:t>
      </w:r>
      <w:r>
        <w:rPr>
          <w:b/>
          <w:sz w:val="28"/>
          <w:szCs w:val="28"/>
        </w:rPr>
        <w:t>ttachments</w:t>
      </w:r>
    </w:p>
    <w:p w14:paraId="576707F0" w14:textId="519EF8A9" w:rsidR="00AB0275" w:rsidRDefault="00AB0275" w:rsidP="00AB0275">
      <w:pPr>
        <w:ind w:left="567" w:hanging="567"/>
      </w:pPr>
      <w:r>
        <w:t>A.</w:t>
      </w:r>
      <w:r>
        <w:tab/>
      </w:r>
      <w:r w:rsidR="00BF5D52">
        <w:t>Approved draft</w:t>
      </w:r>
      <w:r>
        <w:t xml:space="preserve">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282F188E" w14:textId="26D631A9" w:rsidR="00D60568" w:rsidRDefault="00AB0275" w:rsidP="00DD056D">
      <w:pPr>
        <w:ind w:left="567" w:hanging="567"/>
      </w:pPr>
      <w:r w:rsidRPr="00456BD5">
        <w:t>B.</w:t>
      </w:r>
      <w:r w:rsidRPr="00456BD5">
        <w:tab/>
      </w:r>
      <w:r>
        <w:t xml:space="preserve">Explanatory Statement </w:t>
      </w:r>
    </w:p>
    <w:p w14:paraId="5267ACB0" w14:textId="58C7D18D" w:rsidR="00BF5D52" w:rsidRPr="00E203C2" w:rsidRDefault="00BF5D52" w:rsidP="00136C0A"/>
    <w:p w14:paraId="6CECABCA" w14:textId="77777777" w:rsidR="0087015B" w:rsidRPr="008966B3" w:rsidRDefault="00AB0275" w:rsidP="0087015B">
      <w:pPr>
        <w:pStyle w:val="Heading2"/>
        <w:ind w:left="0" w:firstLine="0"/>
      </w:pPr>
      <w:bookmarkStart w:id="101" w:name="_Toc300933454"/>
      <w:r w:rsidRPr="00932F14">
        <w:br w:type="page"/>
      </w:r>
      <w:bookmarkStart w:id="102" w:name="_Toc29883131"/>
      <w:bookmarkStart w:id="103" w:name="_Toc41906818"/>
      <w:bookmarkStart w:id="104" w:name="_Toc41907565"/>
      <w:bookmarkStart w:id="105" w:name="_Toc120358596"/>
      <w:bookmarkStart w:id="106" w:name="_Toc175381458"/>
      <w:bookmarkStart w:id="107" w:name="_Toc11735644"/>
      <w:bookmarkStart w:id="108" w:name="_Toc415572037"/>
      <w:bookmarkStart w:id="109" w:name="_Toc33532560"/>
      <w:bookmarkStart w:id="110" w:name="_Toc33710888"/>
      <w:bookmarkStart w:id="111" w:name="_Toc49174706"/>
      <w:bookmarkEnd w:id="101"/>
      <w:r w:rsidR="0087015B" w:rsidRPr="00932F14">
        <w:t xml:space="preserve">Attachment </w:t>
      </w:r>
      <w:bookmarkEnd w:id="102"/>
      <w:bookmarkEnd w:id="103"/>
      <w:bookmarkEnd w:id="104"/>
      <w:bookmarkEnd w:id="105"/>
      <w:bookmarkEnd w:id="106"/>
      <w:r w:rsidR="0087015B">
        <w:t>A</w:t>
      </w:r>
      <w:bookmarkStart w:id="112" w:name="_Toc120358597"/>
      <w:bookmarkStart w:id="113" w:name="_Toc175381459"/>
      <w:bookmarkEnd w:id="107"/>
      <w:r w:rsidR="0087015B">
        <w:t xml:space="preserve"> – </w:t>
      </w:r>
      <w:bookmarkStart w:id="114" w:name="_Toc415572039"/>
      <w:bookmarkEnd w:id="108"/>
      <w:bookmarkEnd w:id="112"/>
      <w:bookmarkEnd w:id="113"/>
      <w:r w:rsidR="0087015B">
        <w:t xml:space="preserve">Draft </w:t>
      </w:r>
      <w:r w:rsidR="0087015B" w:rsidRPr="00932F14">
        <w:t>variation to the</w:t>
      </w:r>
      <w:r w:rsidR="0087015B" w:rsidRPr="00755F02">
        <w:t xml:space="preserve"> </w:t>
      </w:r>
      <w:r w:rsidR="0087015B" w:rsidRPr="00795D86">
        <w:rPr>
          <w:i/>
        </w:rPr>
        <w:t>Australia New Zealand Food Standards Code</w:t>
      </w:r>
      <w:bookmarkEnd w:id="109"/>
      <w:bookmarkEnd w:id="110"/>
      <w:bookmarkEnd w:id="111"/>
      <w:r w:rsidR="0087015B">
        <w:rPr>
          <w:i/>
        </w:rPr>
        <w:t xml:space="preserve"> </w:t>
      </w:r>
      <w:bookmarkStart w:id="115" w:name="_Toc497724573"/>
      <w:bookmarkStart w:id="116" w:name="_Toc500330654"/>
      <w:bookmarkEnd w:id="114"/>
      <w:bookmarkEnd w:id="115"/>
      <w:bookmarkEnd w:id="116"/>
      <w:r w:rsidR="0087015B">
        <w:rPr>
          <w:i/>
        </w:rPr>
        <w:t xml:space="preserve"> </w:t>
      </w:r>
    </w:p>
    <w:p w14:paraId="3664F747" w14:textId="77777777" w:rsidR="0087015B" w:rsidRPr="00DA1ABB" w:rsidRDefault="0087015B" w:rsidP="0087015B">
      <w:pPr>
        <w:rPr>
          <w:noProof/>
          <w:color w:val="000000" w:themeColor="text1"/>
          <w:sz w:val="20"/>
          <w:lang w:val="en-AU" w:eastAsia="en-AU"/>
        </w:rPr>
      </w:pPr>
      <w:r w:rsidRPr="00DA1ABB">
        <w:rPr>
          <w:noProof/>
          <w:color w:val="000000" w:themeColor="text1"/>
          <w:sz w:val="20"/>
          <w:lang w:eastAsia="en-GB" w:bidi="ar-SA"/>
        </w:rPr>
        <w:drawing>
          <wp:inline distT="0" distB="0" distL="0" distR="0" wp14:anchorId="16DE389B" wp14:editId="662E5DFC">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C253909" w14:textId="77777777" w:rsidR="00516A15" w:rsidRDefault="00516A15" w:rsidP="000B59CF">
      <w:pPr>
        <w:pBdr>
          <w:bottom w:val="single" w:sz="4" w:space="1" w:color="auto"/>
        </w:pBdr>
        <w:rPr>
          <w:rFonts w:cs="Arial"/>
          <w:b/>
          <w:color w:val="000000" w:themeColor="text1"/>
          <w:sz w:val="20"/>
        </w:rPr>
      </w:pPr>
    </w:p>
    <w:p w14:paraId="77E51022" w14:textId="58151721" w:rsidR="0087015B" w:rsidRDefault="0087015B" w:rsidP="000B59CF">
      <w:pPr>
        <w:pBdr>
          <w:bottom w:val="single" w:sz="4" w:space="1" w:color="auto"/>
        </w:pBdr>
        <w:rPr>
          <w:b/>
          <w:sz w:val="20"/>
        </w:rPr>
      </w:pPr>
      <w:r w:rsidRPr="00516A15">
        <w:rPr>
          <w:rFonts w:cs="Arial"/>
          <w:b/>
          <w:color w:val="000000" w:themeColor="text1"/>
          <w:sz w:val="20"/>
        </w:rPr>
        <w:t>Food Standards</w:t>
      </w:r>
      <w:r w:rsidRPr="00516A15">
        <w:rPr>
          <w:rFonts w:cs="Arial"/>
          <w:b/>
          <w:sz w:val="20"/>
        </w:rPr>
        <w:t xml:space="preserve"> (Application </w:t>
      </w:r>
      <w:r w:rsidRPr="00516A15">
        <w:rPr>
          <w:b/>
          <w:sz w:val="20"/>
        </w:rPr>
        <w:t>A1199 –</w:t>
      </w:r>
      <w:r w:rsidRPr="00516A15">
        <w:t xml:space="preserve"> </w:t>
      </w:r>
      <w:r w:rsidRPr="00516A15">
        <w:rPr>
          <w:b/>
          <w:sz w:val="20"/>
        </w:rPr>
        <w:t xml:space="preserve">Food derived from </w:t>
      </w:r>
      <w:r w:rsidRPr="00516A15">
        <w:rPr>
          <w:b/>
          <w:bCs/>
          <w:sz w:val="20"/>
        </w:rPr>
        <w:t xml:space="preserve">Innate potato lines V11 </w:t>
      </w:r>
      <w:r w:rsidR="00C74C55" w:rsidRPr="00516A15">
        <w:rPr>
          <w:b/>
          <w:bCs/>
          <w:sz w:val="20"/>
        </w:rPr>
        <w:t>&amp;</w:t>
      </w:r>
      <w:r w:rsidRPr="00516A15">
        <w:rPr>
          <w:b/>
          <w:bCs/>
          <w:sz w:val="20"/>
        </w:rPr>
        <w:t xml:space="preserve"> Z6</w:t>
      </w:r>
      <w:r w:rsidRPr="00516A15">
        <w:rPr>
          <w:rFonts w:cs="Arial"/>
          <w:b/>
          <w:sz w:val="20"/>
        </w:rPr>
        <w:t>)</w:t>
      </w:r>
      <w:r w:rsidRPr="00516A15">
        <w:rPr>
          <w:b/>
          <w:sz w:val="20"/>
        </w:rPr>
        <w:t xml:space="preserve"> Variation</w:t>
      </w:r>
    </w:p>
    <w:p w14:paraId="304D7BD0" w14:textId="77777777" w:rsidR="00516A15" w:rsidRPr="00516A15" w:rsidRDefault="00516A15" w:rsidP="000B59CF">
      <w:pPr>
        <w:pBdr>
          <w:bottom w:val="single" w:sz="4" w:space="1" w:color="auto"/>
        </w:pBdr>
        <w:rPr>
          <w:b/>
          <w:color w:val="000000" w:themeColor="text1"/>
          <w:sz w:val="20"/>
        </w:rPr>
      </w:pPr>
    </w:p>
    <w:p w14:paraId="02BDAEE8" w14:textId="77777777" w:rsidR="00516A15" w:rsidRDefault="00516A15" w:rsidP="000B59CF">
      <w:pPr>
        <w:rPr>
          <w:color w:val="000000" w:themeColor="text1"/>
          <w:sz w:val="20"/>
        </w:rPr>
      </w:pPr>
    </w:p>
    <w:p w14:paraId="3D3923B3" w14:textId="444BBF42" w:rsidR="0087015B" w:rsidRPr="00DA1ABB" w:rsidRDefault="0087015B" w:rsidP="00A75CB6">
      <w:pPr>
        <w:spacing w:after="240"/>
        <w:rPr>
          <w:color w:val="000000" w:themeColor="text1"/>
          <w:sz w:val="20"/>
        </w:rPr>
      </w:pPr>
      <w:r w:rsidRPr="00DA1ABB">
        <w:rPr>
          <w:color w:val="000000" w:themeColor="text1"/>
          <w:sz w:val="20"/>
        </w:rPr>
        <w:t xml:space="preserve">The Board of Food Standards Australia New Zealand gives notice of the </w:t>
      </w:r>
      <w:r w:rsidR="00962D76">
        <w:rPr>
          <w:color w:val="000000" w:themeColor="text1"/>
          <w:sz w:val="20"/>
        </w:rPr>
        <w:t>making of this variation under s</w:t>
      </w:r>
      <w:r w:rsidRPr="00DA1ABB">
        <w:rPr>
          <w:color w:val="000000" w:themeColor="text1"/>
          <w:sz w:val="20"/>
        </w:rPr>
        <w:t xml:space="preserve">ection 92 of the </w:t>
      </w:r>
      <w:r w:rsidRPr="00DA1ABB">
        <w:rPr>
          <w:i/>
          <w:color w:val="000000" w:themeColor="text1"/>
          <w:sz w:val="20"/>
        </w:rPr>
        <w:t>Food Standards Australia New Zealand Act 1991</w:t>
      </w:r>
      <w:r w:rsidRPr="00DA1ABB">
        <w:rPr>
          <w:color w:val="000000" w:themeColor="text1"/>
          <w:sz w:val="20"/>
        </w:rPr>
        <w:t>. The variation commences on the date specified in clause 3 of the variation.</w:t>
      </w:r>
    </w:p>
    <w:p w14:paraId="541B7087" w14:textId="77777777" w:rsidR="0087015B" w:rsidRPr="00DA1ABB" w:rsidRDefault="0087015B" w:rsidP="00A75CB6">
      <w:pPr>
        <w:spacing w:after="240"/>
        <w:rPr>
          <w:color w:val="000000" w:themeColor="text1"/>
          <w:sz w:val="20"/>
        </w:rPr>
      </w:pPr>
      <w:r w:rsidRPr="00DA1ABB">
        <w:rPr>
          <w:color w:val="000000" w:themeColor="text1"/>
          <w:sz w:val="20"/>
        </w:rPr>
        <w:t>Dated [</w:t>
      </w:r>
      <w:r w:rsidRPr="00935AFF">
        <w:rPr>
          <w:color w:val="FF0000"/>
          <w:sz w:val="20"/>
        </w:rPr>
        <w:t xml:space="preserve">To be completed by </w:t>
      </w:r>
      <w:r>
        <w:rPr>
          <w:color w:val="FF0000"/>
          <w:sz w:val="20"/>
        </w:rPr>
        <w:t>the delegate</w:t>
      </w:r>
      <w:r w:rsidRPr="00DA1ABB">
        <w:rPr>
          <w:color w:val="000000" w:themeColor="text1"/>
          <w:sz w:val="20"/>
        </w:rPr>
        <w:t>]</w:t>
      </w:r>
    </w:p>
    <w:p w14:paraId="2EAD031B" w14:textId="77777777" w:rsidR="0087015B" w:rsidRDefault="0087015B" w:rsidP="00A75CB6">
      <w:pPr>
        <w:spacing w:after="240"/>
        <w:rPr>
          <w:color w:val="000000" w:themeColor="text1"/>
          <w:sz w:val="20"/>
        </w:rPr>
      </w:pPr>
      <w:r>
        <w:rPr>
          <w:color w:val="000000" w:themeColor="text1"/>
          <w:sz w:val="20"/>
        </w:rPr>
        <w:t>Scott Crerar</w:t>
      </w:r>
    </w:p>
    <w:p w14:paraId="3E5CE87E" w14:textId="77777777" w:rsidR="0087015B" w:rsidRPr="00DA1ABB" w:rsidRDefault="0087015B" w:rsidP="00A75CB6">
      <w:pPr>
        <w:spacing w:after="240"/>
        <w:rPr>
          <w:color w:val="000000" w:themeColor="text1"/>
          <w:sz w:val="20"/>
        </w:rPr>
      </w:pPr>
      <w:r w:rsidRPr="00DA1ABB">
        <w:rPr>
          <w:color w:val="000000" w:themeColor="text1"/>
          <w:sz w:val="20"/>
        </w:rPr>
        <w:t>Delegate of the Board of Food Standards Australia New Zealand</w:t>
      </w:r>
    </w:p>
    <w:p w14:paraId="059EAAFD" w14:textId="77777777" w:rsidR="0087015B" w:rsidRPr="00296F74" w:rsidRDefault="0087015B" w:rsidP="0087015B">
      <w:pPr>
        <w:pBdr>
          <w:top w:val="single" w:sz="6" w:space="0" w:color="auto"/>
          <w:left w:val="single" w:sz="6" w:space="0" w:color="auto"/>
          <w:bottom w:val="single" w:sz="6" w:space="0" w:color="auto"/>
          <w:right w:val="single" w:sz="6" w:space="0" w:color="auto"/>
        </w:pBdr>
        <w:rPr>
          <w:b/>
          <w:sz w:val="20"/>
          <w:lang w:val="en-AU"/>
        </w:rPr>
      </w:pPr>
      <w:r w:rsidRPr="00296F74">
        <w:rPr>
          <w:b/>
          <w:sz w:val="20"/>
          <w:lang w:val="en-AU"/>
        </w:rPr>
        <w:t xml:space="preserve">Note:  </w:t>
      </w:r>
    </w:p>
    <w:p w14:paraId="33124C94" w14:textId="77777777" w:rsidR="0087015B" w:rsidRPr="00296F74" w:rsidRDefault="0087015B" w:rsidP="0087015B">
      <w:pPr>
        <w:pBdr>
          <w:top w:val="single" w:sz="6" w:space="0" w:color="auto"/>
          <w:left w:val="single" w:sz="6" w:space="0" w:color="auto"/>
          <w:bottom w:val="single" w:sz="6" w:space="0" w:color="auto"/>
          <w:right w:val="single" w:sz="6" w:space="0" w:color="auto"/>
        </w:pBdr>
        <w:rPr>
          <w:sz w:val="20"/>
          <w:lang w:val="en-AU"/>
        </w:rPr>
      </w:pPr>
    </w:p>
    <w:p w14:paraId="6010AB19" w14:textId="401AB81B" w:rsidR="0087015B" w:rsidRPr="00296F74" w:rsidRDefault="0087015B" w:rsidP="0087015B">
      <w:pPr>
        <w:pBdr>
          <w:top w:val="single" w:sz="6" w:space="0" w:color="auto"/>
          <w:left w:val="single" w:sz="6" w:space="0" w:color="auto"/>
          <w:bottom w:val="single" w:sz="6" w:space="0" w:color="auto"/>
          <w:right w:val="single" w:sz="6" w:space="0" w:color="auto"/>
        </w:pBdr>
        <w:rPr>
          <w:sz w:val="20"/>
          <w:lang w:val="en-AU"/>
        </w:rPr>
      </w:pPr>
      <w:r w:rsidRPr="00296F74">
        <w:rPr>
          <w:sz w:val="20"/>
          <w:lang w:val="en-AU"/>
        </w:rPr>
        <w:t xml:space="preserve">This variation will be published in the Commonwealth of Australia Gazette No. FSC </w:t>
      </w:r>
      <w:r w:rsidRPr="00296F74">
        <w:rPr>
          <w:color w:val="FF0000"/>
          <w:sz w:val="20"/>
          <w:lang w:val="en-AU"/>
        </w:rPr>
        <w:t>XX on XX Month 20XX</w:t>
      </w:r>
      <w:r w:rsidRPr="00296F74">
        <w:rPr>
          <w:sz w:val="20"/>
          <w:lang w:val="en-AU"/>
        </w:rPr>
        <w:t xml:space="preserve">. </w:t>
      </w:r>
      <w:r w:rsidR="00962D76" w:rsidRPr="00296F74">
        <w:rPr>
          <w:sz w:val="20"/>
          <w:lang w:val="en-AU"/>
        </w:rPr>
        <w:t xml:space="preserve">This means that this date is the gazettal date for the purposes of </w:t>
      </w:r>
      <w:r w:rsidR="00962D76" w:rsidRPr="006664AA">
        <w:rPr>
          <w:sz w:val="20"/>
          <w:lang w:val="en-AU"/>
        </w:rPr>
        <w:t>clause 3 of the variation</w:t>
      </w:r>
      <w:r w:rsidR="00962D76" w:rsidRPr="00296F74">
        <w:rPr>
          <w:sz w:val="20"/>
          <w:lang w:val="en-AU"/>
        </w:rPr>
        <w:t>.</w:t>
      </w:r>
    </w:p>
    <w:p w14:paraId="36D4CDA4" w14:textId="77777777" w:rsidR="0087015B" w:rsidRDefault="0087015B" w:rsidP="0087015B">
      <w:r w:rsidRPr="00296F74">
        <w:br w:type="page"/>
      </w:r>
    </w:p>
    <w:p w14:paraId="1CE1D9FB" w14:textId="77777777" w:rsidR="0087015B" w:rsidRPr="006C1225" w:rsidRDefault="0087015B" w:rsidP="0087015B">
      <w:pPr>
        <w:pStyle w:val="FSCDraftingitemheading"/>
      </w:pPr>
      <w:r w:rsidRPr="006C1225">
        <w:t>1</w:t>
      </w:r>
      <w:r w:rsidRPr="006C1225">
        <w:tab/>
        <w:t>Name</w:t>
      </w:r>
    </w:p>
    <w:p w14:paraId="1F743E03" w14:textId="2E878AD4" w:rsidR="0087015B" w:rsidRPr="00DA1ABB" w:rsidRDefault="0087015B" w:rsidP="0087015B">
      <w:pPr>
        <w:pStyle w:val="FSCDraftingitem"/>
      </w:pPr>
      <w:r w:rsidRPr="00DA1ABB">
        <w:t xml:space="preserve">This instrument is the </w:t>
      </w:r>
      <w:r w:rsidRPr="008C4853">
        <w:rPr>
          <w:i/>
        </w:rPr>
        <w:t>F</w:t>
      </w:r>
      <w:r>
        <w:rPr>
          <w:i/>
        </w:rPr>
        <w:t>ood Standards (Application</w:t>
      </w:r>
      <w:r w:rsidRPr="00C62E4B">
        <w:rPr>
          <w:i/>
        </w:rPr>
        <w:t xml:space="preserve"> A119</w:t>
      </w:r>
      <w:r w:rsidR="00E753AE">
        <w:rPr>
          <w:i/>
        </w:rPr>
        <w:t>9</w:t>
      </w:r>
      <w:r w:rsidRPr="00C62E4B">
        <w:rPr>
          <w:i/>
        </w:rPr>
        <w:t xml:space="preserve"> – Food derived from </w:t>
      </w:r>
      <w:r w:rsidR="00C74C55">
        <w:rPr>
          <w:i/>
        </w:rPr>
        <w:t>Innate potato lines V11 &amp; Z6</w:t>
      </w:r>
      <w:r w:rsidRPr="00C62E4B">
        <w:rPr>
          <w:i/>
        </w:rPr>
        <w:t xml:space="preserve">) </w:t>
      </w:r>
      <w:r w:rsidRPr="00EC7738">
        <w:rPr>
          <w:i/>
        </w:rPr>
        <w:t>Variation</w:t>
      </w:r>
      <w:r w:rsidRPr="00DA1ABB">
        <w:t>.</w:t>
      </w:r>
    </w:p>
    <w:p w14:paraId="497BCC09" w14:textId="77777777" w:rsidR="0087015B" w:rsidRPr="00DA1ABB" w:rsidRDefault="0087015B" w:rsidP="0087015B">
      <w:pPr>
        <w:pStyle w:val="FSCDraftingitemheading"/>
      </w:pPr>
      <w:r w:rsidRPr="00DA1ABB">
        <w:t>2</w:t>
      </w:r>
      <w:r w:rsidRPr="00DA1ABB">
        <w:tab/>
        <w:t xml:space="preserve">Variation to a Standard in the </w:t>
      </w:r>
      <w:r w:rsidRPr="00EC7738">
        <w:rPr>
          <w:i/>
        </w:rPr>
        <w:t>Australia New Zealand Food Standards Code</w:t>
      </w:r>
    </w:p>
    <w:p w14:paraId="2D4F5208" w14:textId="2A042AD7" w:rsidR="0087015B" w:rsidRPr="00DA1ABB" w:rsidRDefault="0087015B" w:rsidP="0087015B">
      <w:pPr>
        <w:pStyle w:val="FSCDraftingitem"/>
      </w:pPr>
      <w:r w:rsidRPr="00DA1ABB">
        <w:t xml:space="preserve">The Schedule varies a </w:t>
      </w:r>
      <w:r w:rsidR="003F6338">
        <w:t>S</w:t>
      </w:r>
      <w:r>
        <w:t xml:space="preserve">tandard </w:t>
      </w:r>
      <w:r w:rsidRPr="00DA1ABB">
        <w:t xml:space="preserve">in the </w:t>
      </w:r>
      <w:r w:rsidRPr="00DA1ABB">
        <w:rPr>
          <w:i/>
        </w:rPr>
        <w:t>Australia New Zealand Food Standards Code</w:t>
      </w:r>
      <w:r w:rsidRPr="00DA1ABB">
        <w:t>.</w:t>
      </w:r>
    </w:p>
    <w:p w14:paraId="570AD1CD" w14:textId="77777777" w:rsidR="0087015B" w:rsidRPr="00EC7738" w:rsidRDefault="0087015B" w:rsidP="0087015B">
      <w:pPr>
        <w:pStyle w:val="FSCDraftingitemheading"/>
      </w:pPr>
      <w:r w:rsidRPr="00DA1ABB">
        <w:t>3</w:t>
      </w:r>
      <w:r w:rsidRPr="00DA1ABB">
        <w:tab/>
        <w:t>Commencement</w:t>
      </w:r>
    </w:p>
    <w:p w14:paraId="551F7798" w14:textId="77777777" w:rsidR="0087015B" w:rsidRPr="00DA1ABB" w:rsidRDefault="0087015B" w:rsidP="0087015B">
      <w:pPr>
        <w:pStyle w:val="FSCDraftingitem"/>
      </w:pPr>
      <w:r w:rsidRPr="00DA1ABB">
        <w:t>The variation commences on the date of gazettal.</w:t>
      </w:r>
    </w:p>
    <w:p w14:paraId="333BDF0E" w14:textId="77777777" w:rsidR="0087015B" w:rsidRPr="00EC7738" w:rsidRDefault="0087015B" w:rsidP="0087015B">
      <w:pPr>
        <w:pStyle w:val="FSCDraftingitemheading"/>
        <w:jc w:val="center"/>
      </w:pPr>
      <w:r w:rsidRPr="00EC7738">
        <w:t>Schedule</w:t>
      </w:r>
    </w:p>
    <w:p w14:paraId="1AE8F7F3" w14:textId="2387E713" w:rsidR="0087015B" w:rsidRPr="00DA1ABB" w:rsidRDefault="0087015B" w:rsidP="0087015B">
      <w:pPr>
        <w:pStyle w:val="FSCDraftingitem"/>
      </w:pPr>
      <w:r w:rsidRPr="00DA1ABB">
        <w:rPr>
          <w:b/>
        </w:rPr>
        <w:t>[1]</w:t>
      </w:r>
      <w:r w:rsidRPr="00DA1ABB">
        <w:rPr>
          <w:b/>
        </w:rPr>
        <w:tab/>
        <w:t>Schedule 26</w:t>
      </w:r>
      <w:r w:rsidRPr="00DA1ABB">
        <w:t xml:space="preserve"> is varied by inserting in the table to subsection S26—3(4) in</w:t>
      </w:r>
      <w:r>
        <w:t xml:space="preserve"> alphabeti</w:t>
      </w:r>
      <w:r w:rsidR="00C74C55">
        <w:t>cal order</w:t>
      </w:r>
      <w:r w:rsidR="00FE328F">
        <w:t xml:space="preserve"> </w:t>
      </w:r>
      <w:r w:rsidR="00C74C55">
        <w:t>under item 5</w:t>
      </w:r>
    </w:p>
    <w:tbl>
      <w:tblPr>
        <w:tblStyle w:val="TableGrid"/>
        <w:tblW w:w="16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gridCol w:w="6979"/>
      </w:tblGrid>
      <w:tr w:rsidR="00C74C55" w:rsidRPr="00DA1ABB" w14:paraId="728E2725" w14:textId="77777777" w:rsidTr="00C74C55">
        <w:trPr>
          <w:cantSplit/>
        </w:trPr>
        <w:tc>
          <w:tcPr>
            <w:tcW w:w="903" w:type="dxa"/>
          </w:tcPr>
          <w:p w14:paraId="767CF346" w14:textId="77777777" w:rsidR="00C74C55" w:rsidRPr="00DA1ABB" w:rsidRDefault="00C74C55" w:rsidP="00C74C55">
            <w:pPr>
              <w:pStyle w:val="FSCtblPara"/>
              <w:rPr>
                <w:color w:val="000000" w:themeColor="text1"/>
              </w:rPr>
            </w:pPr>
          </w:p>
        </w:tc>
        <w:tc>
          <w:tcPr>
            <w:tcW w:w="1190" w:type="dxa"/>
          </w:tcPr>
          <w:p w14:paraId="328DC801" w14:textId="77777777" w:rsidR="00C74C55" w:rsidRPr="00DA1ABB" w:rsidRDefault="00C74C55" w:rsidP="00C74C55">
            <w:pPr>
              <w:pStyle w:val="FSCtblPara"/>
              <w:rPr>
                <w:color w:val="000000" w:themeColor="text1"/>
              </w:rPr>
            </w:pPr>
          </w:p>
        </w:tc>
        <w:tc>
          <w:tcPr>
            <w:tcW w:w="6979" w:type="dxa"/>
          </w:tcPr>
          <w:p w14:paraId="228B261C" w14:textId="03C3076B" w:rsidR="00C74C55" w:rsidRDefault="00C74C55" w:rsidP="00C74C55">
            <w:pPr>
              <w:pStyle w:val="FSCtblPara"/>
            </w:pPr>
            <w:r>
              <w:rPr>
                <w:color w:val="000000" w:themeColor="text1"/>
              </w:rPr>
              <w:t>(g</w:t>
            </w:r>
            <w:r w:rsidRPr="00FB285C">
              <w:rPr>
                <w:color w:val="000000" w:themeColor="text1"/>
              </w:rPr>
              <w:t xml:space="preserve">) </w:t>
            </w:r>
            <w:r w:rsidRPr="00FB285C">
              <w:rPr>
                <w:color w:val="000000" w:themeColor="text1"/>
              </w:rPr>
              <w:tab/>
            </w:r>
            <w:r w:rsidRPr="00FB285C">
              <w:t>reduced acrylamide potential a</w:t>
            </w:r>
            <w:r>
              <w:t>nd reduced browning potato line</w:t>
            </w:r>
            <w:r w:rsidRPr="00FB285C">
              <w:t xml:space="preserve"> </w:t>
            </w:r>
            <w:r>
              <w:t>V11</w:t>
            </w:r>
          </w:p>
        </w:tc>
        <w:tc>
          <w:tcPr>
            <w:tcW w:w="6979" w:type="dxa"/>
          </w:tcPr>
          <w:p w14:paraId="043EA6B5" w14:textId="3051C8C9" w:rsidR="00C74C55" w:rsidRPr="00DA1ABB" w:rsidRDefault="00C74C55" w:rsidP="00C74C55">
            <w:pPr>
              <w:pStyle w:val="FSCtblPara"/>
              <w:ind w:left="0" w:firstLine="0"/>
            </w:pPr>
          </w:p>
        </w:tc>
      </w:tr>
      <w:tr w:rsidR="00C74C55" w:rsidRPr="00DA1ABB" w14:paraId="7B3F2B73" w14:textId="77777777" w:rsidTr="00C74C55">
        <w:trPr>
          <w:cantSplit/>
        </w:trPr>
        <w:tc>
          <w:tcPr>
            <w:tcW w:w="903" w:type="dxa"/>
          </w:tcPr>
          <w:p w14:paraId="29571686" w14:textId="77777777" w:rsidR="00C74C55" w:rsidRPr="00DA1ABB" w:rsidRDefault="00C74C55" w:rsidP="00C74C55">
            <w:pPr>
              <w:pStyle w:val="FSCtblPara"/>
              <w:rPr>
                <w:color w:val="000000" w:themeColor="text1"/>
              </w:rPr>
            </w:pPr>
          </w:p>
        </w:tc>
        <w:tc>
          <w:tcPr>
            <w:tcW w:w="1190" w:type="dxa"/>
          </w:tcPr>
          <w:p w14:paraId="0D07D84B" w14:textId="77777777" w:rsidR="00C74C55" w:rsidRPr="00DA1ABB" w:rsidRDefault="00C74C55" w:rsidP="00C74C55">
            <w:pPr>
              <w:pStyle w:val="FSCtblPara"/>
              <w:rPr>
                <w:color w:val="000000" w:themeColor="text1"/>
              </w:rPr>
            </w:pPr>
          </w:p>
        </w:tc>
        <w:tc>
          <w:tcPr>
            <w:tcW w:w="6979" w:type="dxa"/>
          </w:tcPr>
          <w:p w14:paraId="01015EE9" w14:textId="1AE8C162" w:rsidR="00C74C55" w:rsidRPr="00FB285C" w:rsidRDefault="00C74C55" w:rsidP="00C74C55">
            <w:pPr>
              <w:pStyle w:val="FSCtblPara"/>
              <w:rPr>
                <w:color w:val="000000" w:themeColor="text1"/>
              </w:rPr>
            </w:pPr>
            <w:r>
              <w:rPr>
                <w:color w:val="000000" w:themeColor="text1"/>
              </w:rPr>
              <w:t>(h)</w:t>
            </w:r>
            <w:r w:rsidRPr="00FB285C">
              <w:rPr>
                <w:color w:val="000000" w:themeColor="text1"/>
              </w:rPr>
              <w:t xml:space="preserve"> </w:t>
            </w:r>
            <w:r w:rsidRPr="00FB285C">
              <w:rPr>
                <w:color w:val="000000" w:themeColor="text1"/>
              </w:rPr>
              <w:tab/>
            </w:r>
            <w:r w:rsidRPr="00FB285C">
              <w:t xml:space="preserve">disease-resistant, reduced acrylamide potential and reduced browning potato </w:t>
            </w:r>
            <w:r>
              <w:t>line Z6</w:t>
            </w:r>
          </w:p>
        </w:tc>
        <w:tc>
          <w:tcPr>
            <w:tcW w:w="6979" w:type="dxa"/>
          </w:tcPr>
          <w:p w14:paraId="2CA2C3D2" w14:textId="77777777" w:rsidR="00C74C55" w:rsidRDefault="00C74C55" w:rsidP="00C74C55">
            <w:pPr>
              <w:pStyle w:val="FSCtblPara"/>
            </w:pPr>
          </w:p>
        </w:tc>
      </w:tr>
    </w:tbl>
    <w:p w14:paraId="5280BBE3" w14:textId="77777777" w:rsidR="0087015B" w:rsidRDefault="0087015B" w:rsidP="0087015B">
      <w:pPr>
        <w:rPr>
          <w:lang w:val="en-AU" w:eastAsia="en-GB" w:bidi="ar-SA"/>
        </w:rPr>
      </w:pPr>
      <w:r w:rsidRPr="00932F14">
        <w:br w:type="page"/>
      </w:r>
    </w:p>
    <w:p w14:paraId="2FB4E0A3" w14:textId="7E0F4D78" w:rsidR="0087015B" w:rsidRDefault="0087015B" w:rsidP="0087015B">
      <w:pPr>
        <w:pStyle w:val="Heading2"/>
        <w:ind w:left="0" w:firstLine="0"/>
      </w:pPr>
      <w:bookmarkStart w:id="117" w:name="_Toc33532561"/>
      <w:bookmarkStart w:id="118" w:name="_Toc33710889"/>
      <w:bookmarkStart w:id="119" w:name="_Toc49174707"/>
      <w:r w:rsidRPr="00932F14">
        <w:t xml:space="preserve">Attachment </w:t>
      </w:r>
      <w:r>
        <w:t>B –</w:t>
      </w:r>
      <w:r w:rsidR="00962D76">
        <w:t xml:space="preserve"> </w:t>
      </w:r>
      <w:r>
        <w:t>Explanatory Statement</w:t>
      </w:r>
      <w:bookmarkEnd w:id="117"/>
      <w:bookmarkEnd w:id="118"/>
      <w:bookmarkEnd w:id="119"/>
    </w:p>
    <w:p w14:paraId="491A99A4" w14:textId="77777777" w:rsidR="0087015B" w:rsidRPr="000576EB" w:rsidRDefault="0087015B" w:rsidP="0087015B">
      <w:pPr>
        <w:rPr>
          <w:b/>
          <w:lang w:val="en-AU" w:eastAsia="en-GB" w:bidi="ar-SA"/>
        </w:rPr>
      </w:pPr>
      <w:r w:rsidRPr="000576EB">
        <w:rPr>
          <w:b/>
          <w:lang w:val="en-AU" w:eastAsia="en-GB" w:bidi="ar-SA"/>
        </w:rPr>
        <w:t>1.</w:t>
      </w:r>
      <w:r w:rsidRPr="000576EB">
        <w:rPr>
          <w:b/>
          <w:lang w:val="en-AU" w:eastAsia="en-GB" w:bidi="ar-SA"/>
        </w:rPr>
        <w:tab/>
        <w:t>Authority</w:t>
      </w:r>
    </w:p>
    <w:p w14:paraId="1C850CE9" w14:textId="77777777" w:rsidR="0087015B" w:rsidRDefault="0087015B" w:rsidP="0087015B">
      <w:pPr>
        <w:rPr>
          <w:lang w:val="en-AU" w:eastAsia="en-GB" w:bidi="ar-SA"/>
        </w:rPr>
      </w:pPr>
    </w:p>
    <w:p w14:paraId="374D0270" w14:textId="77777777" w:rsidR="0087015B" w:rsidRPr="00D13E34" w:rsidRDefault="0087015B" w:rsidP="0087015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20635A95" w14:textId="77777777" w:rsidR="0087015B" w:rsidRPr="00D13E34" w:rsidRDefault="0087015B" w:rsidP="0087015B">
      <w:pPr>
        <w:widowControl/>
        <w:autoSpaceDE w:val="0"/>
        <w:autoSpaceDN w:val="0"/>
        <w:adjustRightInd w:val="0"/>
        <w:rPr>
          <w:rFonts w:eastAsia="Calibri" w:cs="Arial"/>
          <w:bCs/>
          <w:szCs w:val="22"/>
          <w:lang w:val="en-AU" w:bidi="ar-SA"/>
        </w:rPr>
      </w:pPr>
    </w:p>
    <w:p w14:paraId="1E96BC14" w14:textId="77777777" w:rsidR="0087015B" w:rsidRPr="002D0B62" w:rsidRDefault="0087015B" w:rsidP="0087015B">
      <w:pPr>
        <w:widowControl/>
        <w:autoSpaceDE w:val="0"/>
        <w:autoSpaceDN w:val="0"/>
        <w:adjustRightInd w:val="0"/>
        <w:rPr>
          <w:rFonts w:eastAsia="Calibri" w:cs="Arial"/>
          <w:szCs w:val="22"/>
          <w:lang w:val="en-AU" w:bidi="ar-SA"/>
        </w:rPr>
      </w:pPr>
      <w:r w:rsidRPr="002D0B62">
        <w:rPr>
          <w:rFonts w:eastAsia="Calibri" w:cs="Arial"/>
          <w:szCs w:val="22"/>
          <w:lang w:val="en-AU" w:bidi="ar-SA"/>
        </w:rPr>
        <w:t xml:space="preserve">Division 1 of Part 3 of the FSANZ Act specifies that the Authority may accept </w:t>
      </w:r>
      <w:r>
        <w:rPr>
          <w:rFonts w:eastAsia="Calibri" w:cs="Arial"/>
          <w:szCs w:val="22"/>
          <w:lang w:val="en-AU" w:bidi="ar-SA"/>
        </w:rPr>
        <w:t>application</w:t>
      </w:r>
      <w:r w:rsidRPr="002D0B62">
        <w:rPr>
          <w:rFonts w:eastAsia="Calibri" w:cs="Arial"/>
          <w:szCs w:val="22"/>
          <w:lang w:val="en-AU" w:bidi="ar-SA"/>
        </w:rPr>
        <w:t xml:space="preserve">s for the development or variation of food regulatory measures, including standards. This Division also stipulates the procedure for considering an </w:t>
      </w:r>
      <w:r>
        <w:rPr>
          <w:rFonts w:eastAsia="Calibri" w:cs="Arial"/>
          <w:szCs w:val="22"/>
          <w:lang w:val="en-AU" w:bidi="ar-SA"/>
        </w:rPr>
        <w:t>application</w:t>
      </w:r>
      <w:r w:rsidRPr="002D0B62">
        <w:rPr>
          <w:rFonts w:eastAsia="Calibri" w:cs="Arial"/>
          <w:szCs w:val="22"/>
          <w:lang w:val="en-AU" w:bidi="ar-SA"/>
        </w:rPr>
        <w:t xml:space="preserve"> for the development or variation of food regulatory measures. </w:t>
      </w:r>
    </w:p>
    <w:p w14:paraId="17BA1CB7" w14:textId="77777777" w:rsidR="0087015B" w:rsidRPr="000576EB" w:rsidRDefault="0087015B" w:rsidP="0087015B">
      <w:pPr>
        <w:widowControl/>
        <w:autoSpaceDE w:val="0"/>
        <w:autoSpaceDN w:val="0"/>
        <w:adjustRightInd w:val="0"/>
        <w:rPr>
          <w:rFonts w:eastAsia="Calibri" w:cs="Arial"/>
          <w:bCs/>
          <w:color w:val="FF0000"/>
          <w:szCs w:val="22"/>
          <w:lang w:val="en-AU" w:bidi="ar-SA"/>
        </w:rPr>
      </w:pPr>
    </w:p>
    <w:p w14:paraId="59EC5CF7" w14:textId="3B1B0D9F" w:rsidR="0087015B" w:rsidRDefault="0087015B" w:rsidP="0087015B">
      <w:pPr>
        <w:widowControl/>
        <w:autoSpaceDE w:val="0"/>
        <w:autoSpaceDN w:val="0"/>
        <w:adjustRightInd w:val="0"/>
        <w:rPr>
          <w:rFonts w:eastAsia="Calibri" w:cs="Arial"/>
          <w:bCs/>
          <w:szCs w:val="22"/>
          <w:lang w:val="en-AU" w:bidi="ar-SA"/>
        </w:rPr>
      </w:pPr>
      <w:r>
        <w:rPr>
          <w:rFonts w:eastAsia="Calibri" w:cs="Arial"/>
          <w:szCs w:val="22"/>
          <w:lang w:val="en-AU" w:bidi="ar-SA"/>
        </w:rPr>
        <w:t>The Authority</w:t>
      </w:r>
      <w:r w:rsidRPr="002D0B62">
        <w:rPr>
          <w:rFonts w:eastAsia="Calibri" w:cs="Arial"/>
          <w:szCs w:val="22"/>
          <w:lang w:val="en-AU" w:bidi="ar-SA"/>
        </w:rPr>
        <w:t xml:space="preserve"> accepted </w:t>
      </w:r>
      <w:r>
        <w:rPr>
          <w:rFonts w:eastAsia="Calibri" w:cs="Arial"/>
          <w:szCs w:val="22"/>
          <w:lang w:val="en-AU" w:bidi="ar-SA"/>
        </w:rPr>
        <w:t>Application</w:t>
      </w:r>
      <w:r w:rsidRPr="002D0B62">
        <w:rPr>
          <w:rFonts w:eastAsia="Calibri" w:cs="Arial"/>
          <w:szCs w:val="22"/>
          <w:lang w:val="en-AU" w:bidi="ar-SA"/>
        </w:rPr>
        <w:t xml:space="preserve"> </w:t>
      </w:r>
      <w:r w:rsidR="00684646">
        <w:rPr>
          <w:rFonts w:eastAsia="Calibri" w:cs="Arial"/>
          <w:bCs/>
          <w:szCs w:val="22"/>
          <w:lang w:val="en-AU" w:bidi="ar-SA"/>
        </w:rPr>
        <w:t>A1199</w:t>
      </w:r>
      <w:r w:rsidRPr="002D0B62">
        <w:rPr>
          <w:rFonts w:eastAsia="Calibri" w:cs="Arial"/>
          <w:szCs w:val="22"/>
          <w:lang w:val="en-AU" w:bidi="ar-SA"/>
        </w:rPr>
        <w:t xml:space="preserve"> which seeks </w:t>
      </w:r>
      <w:r w:rsidRPr="002D0B62">
        <w:rPr>
          <w:rFonts w:eastAsia="Calibri" w:cs="Arial"/>
          <w:bCs/>
          <w:szCs w:val="22"/>
          <w:lang w:val="en-AU" w:bidi="ar-SA"/>
        </w:rPr>
        <w:t xml:space="preserve">approval for </w:t>
      </w:r>
      <w:r w:rsidR="00556289">
        <w:rPr>
          <w:rFonts w:eastAsia="Calibri" w:cs="Arial"/>
          <w:bCs/>
          <w:szCs w:val="22"/>
          <w:lang w:val="en-AU" w:bidi="ar-SA"/>
        </w:rPr>
        <w:t xml:space="preserve">the sale and use of </w:t>
      </w:r>
      <w:r w:rsidRPr="002D0B62">
        <w:rPr>
          <w:rFonts w:eastAsia="Calibri" w:cs="Arial"/>
          <w:bCs/>
          <w:szCs w:val="22"/>
          <w:lang w:val="en-AU" w:bidi="ar-SA"/>
        </w:rPr>
        <w:t>food derived</w:t>
      </w:r>
      <w:r w:rsidRPr="002D0B62">
        <w:rPr>
          <w:rFonts w:eastAsia="Calibri" w:cs="Arial"/>
          <w:szCs w:val="22"/>
          <w:lang w:val="en-AU" w:bidi="ar-SA"/>
        </w:rPr>
        <w:t xml:space="preserve"> from </w:t>
      </w:r>
      <w:r w:rsidR="00E05B7C">
        <w:rPr>
          <w:rFonts w:eastAsia="Calibri" w:cs="Arial"/>
          <w:szCs w:val="22"/>
          <w:lang w:val="en-AU" w:bidi="ar-SA"/>
        </w:rPr>
        <w:t xml:space="preserve">two </w:t>
      </w:r>
      <w:r w:rsidR="00E05B7C" w:rsidRPr="00321936">
        <w:rPr>
          <w:lang w:bidi="ar-SA"/>
        </w:rPr>
        <w:t xml:space="preserve">genetically modified (GM) </w:t>
      </w:r>
      <w:r w:rsidR="00684646">
        <w:rPr>
          <w:rFonts w:eastAsia="Calibri" w:cs="Arial"/>
          <w:bCs/>
          <w:szCs w:val="22"/>
          <w:lang w:val="en-AU" w:bidi="ar-SA"/>
        </w:rPr>
        <w:t>potato lines</w:t>
      </w:r>
      <w:r w:rsidR="00E05B7C">
        <w:rPr>
          <w:rFonts w:eastAsia="Calibri" w:cs="Arial"/>
          <w:bCs/>
          <w:szCs w:val="22"/>
          <w:lang w:val="en-AU" w:bidi="ar-SA"/>
        </w:rPr>
        <w:t>,</w:t>
      </w:r>
      <w:r w:rsidR="00684646">
        <w:rPr>
          <w:rFonts w:eastAsia="Calibri" w:cs="Arial"/>
          <w:bCs/>
          <w:szCs w:val="22"/>
          <w:lang w:val="en-AU" w:bidi="ar-SA"/>
        </w:rPr>
        <w:t xml:space="preserve"> V11 and Z6</w:t>
      </w:r>
      <w:r>
        <w:rPr>
          <w:rFonts w:eastAsia="Calibri" w:cs="Arial"/>
          <w:bCs/>
          <w:szCs w:val="22"/>
          <w:lang w:val="en-AU" w:bidi="ar-SA"/>
        </w:rPr>
        <w:t>.</w:t>
      </w:r>
      <w:r>
        <w:rPr>
          <w:rFonts w:eastAsia="Calibri" w:cs="Arial"/>
          <w:szCs w:val="22"/>
          <w:lang w:val="en-AU" w:bidi="ar-SA"/>
        </w:rPr>
        <w:t xml:space="preserve"> The Authority considered the </w:t>
      </w:r>
      <w:r w:rsidR="007F4E4E">
        <w:rPr>
          <w:rFonts w:eastAsia="Calibri" w:cs="Arial"/>
          <w:szCs w:val="22"/>
          <w:lang w:val="en-AU" w:bidi="ar-SA"/>
        </w:rPr>
        <w:t xml:space="preserve">application </w:t>
      </w:r>
      <w:r>
        <w:rPr>
          <w:rFonts w:eastAsia="Calibri" w:cs="Arial"/>
          <w:szCs w:val="22"/>
          <w:lang w:val="en-AU" w:bidi="ar-SA"/>
        </w:rPr>
        <w:t xml:space="preserve">in accordance with Division 1 of Part 3 and has </w:t>
      </w:r>
      <w:r w:rsidR="00962D76">
        <w:rPr>
          <w:rFonts w:eastAsia="Calibri" w:cs="Arial"/>
          <w:szCs w:val="22"/>
          <w:lang w:val="en-AU" w:bidi="ar-SA"/>
        </w:rPr>
        <w:t>approved</w:t>
      </w:r>
      <w:r>
        <w:rPr>
          <w:rFonts w:eastAsia="Calibri" w:cs="Arial"/>
          <w:szCs w:val="22"/>
          <w:lang w:val="en-AU" w:bidi="ar-SA"/>
        </w:rPr>
        <w:t xml:space="preserve"> a draft </w:t>
      </w:r>
      <w:r>
        <w:rPr>
          <w:rFonts w:eastAsia="Calibri" w:cs="Arial"/>
          <w:bCs/>
          <w:szCs w:val="22"/>
          <w:lang w:val="en-AU" w:bidi="ar-SA"/>
        </w:rPr>
        <w:t>variation.</w:t>
      </w:r>
    </w:p>
    <w:p w14:paraId="14D2443D" w14:textId="17494B1C" w:rsidR="00C36BEC" w:rsidRDefault="00C36BEC" w:rsidP="0087015B">
      <w:pPr>
        <w:widowControl/>
        <w:autoSpaceDE w:val="0"/>
        <w:autoSpaceDN w:val="0"/>
        <w:adjustRightInd w:val="0"/>
        <w:rPr>
          <w:rFonts w:eastAsia="Calibri" w:cs="Arial"/>
          <w:bCs/>
          <w:color w:val="FF0000"/>
          <w:szCs w:val="22"/>
          <w:lang w:val="en-AU" w:bidi="ar-SA"/>
        </w:rPr>
      </w:pPr>
    </w:p>
    <w:p w14:paraId="4921379E" w14:textId="7F702DF9" w:rsidR="00C36BEC" w:rsidRPr="00D13E34" w:rsidRDefault="00C36BEC" w:rsidP="00C36BE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00962D76">
        <w:rPr>
          <w:rFonts w:eastAsia="Calibri" w:cs="Arial"/>
          <w:bCs/>
          <w:szCs w:val="22"/>
          <w:lang w:val="en-AU" w:bidi="ar-SA"/>
        </w:rPr>
        <w:t>, s</w:t>
      </w:r>
      <w:r w:rsidRPr="00D13E34">
        <w:rPr>
          <w:rFonts w:eastAsia="Calibri" w:cs="Arial"/>
          <w:bCs/>
          <w:szCs w:val="22"/>
          <w:lang w:val="en-AU" w:bidi="ar-SA"/>
        </w:rPr>
        <w:t xml:space="preserve">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1A5F9187" w14:textId="77777777" w:rsidR="00C36BEC" w:rsidRPr="00D13E34" w:rsidRDefault="00C36BEC" w:rsidP="00C36BEC">
      <w:pPr>
        <w:widowControl/>
        <w:autoSpaceDE w:val="0"/>
        <w:autoSpaceDN w:val="0"/>
        <w:adjustRightInd w:val="0"/>
        <w:rPr>
          <w:rFonts w:eastAsia="Calibri" w:cs="Arial"/>
          <w:bCs/>
          <w:szCs w:val="22"/>
          <w:lang w:val="en-AU" w:bidi="ar-SA"/>
        </w:rPr>
      </w:pPr>
    </w:p>
    <w:p w14:paraId="71D325FE" w14:textId="6919E49C" w:rsidR="00C36BEC" w:rsidRPr="00C36BEC" w:rsidRDefault="00C36BEC" w:rsidP="0087015B">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w:t>
      </w:r>
      <w:r>
        <w:rPr>
          <w:rFonts w:eastAsia="Calibri" w:cs="Arial"/>
          <w:color w:val="000000"/>
          <w:szCs w:val="22"/>
          <w:lang w:val="en-AU" w:bidi="ar-SA"/>
        </w:rPr>
        <w:t xml:space="preserve">ch a notice is published </w:t>
      </w:r>
      <w:r w:rsidR="00962D76">
        <w:rPr>
          <w:rFonts w:eastAsia="Calibri" w:cs="Arial"/>
          <w:color w:val="000000"/>
          <w:szCs w:val="22"/>
          <w:lang w:val="en-AU" w:bidi="ar-SA"/>
        </w:rPr>
        <w:t>under s</w:t>
      </w:r>
      <w:r w:rsidRPr="00EC71D1">
        <w:rPr>
          <w:rFonts w:eastAsia="Calibri" w:cs="Arial"/>
          <w:color w:val="000000"/>
          <w:szCs w:val="22"/>
          <w:lang w:val="en-AU" w:bidi="ar-SA"/>
        </w:rPr>
        <w:t xml:space="preserve">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5BB74A51" w14:textId="77777777" w:rsidR="0087015B" w:rsidRPr="00D13E34" w:rsidRDefault="0087015B" w:rsidP="0087015B">
      <w:pPr>
        <w:widowControl/>
        <w:autoSpaceDE w:val="0"/>
        <w:autoSpaceDN w:val="0"/>
        <w:adjustRightInd w:val="0"/>
        <w:rPr>
          <w:rFonts w:eastAsia="Calibri" w:cs="Arial"/>
          <w:bCs/>
          <w:szCs w:val="22"/>
          <w:lang w:val="en-AU" w:bidi="ar-SA"/>
        </w:rPr>
      </w:pPr>
    </w:p>
    <w:p w14:paraId="21AAF66B" w14:textId="77777777" w:rsidR="0087015B" w:rsidRDefault="0087015B" w:rsidP="0087015B">
      <w:pPr>
        <w:rPr>
          <w:b/>
          <w:lang w:val="en-AU" w:eastAsia="en-GB" w:bidi="ar-SA"/>
        </w:rPr>
      </w:pPr>
      <w:r>
        <w:rPr>
          <w:b/>
          <w:lang w:val="en-AU" w:eastAsia="en-GB" w:bidi="ar-SA"/>
        </w:rPr>
        <w:t>2.</w:t>
      </w:r>
      <w:r>
        <w:rPr>
          <w:b/>
          <w:lang w:val="en-AU" w:eastAsia="en-GB" w:bidi="ar-SA"/>
        </w:rPr>
        <w:tab/>
        <w:t xml:space="preserve">Purpose </w:t>
      </w:r>
    </w:p>
    <w:p w14:paraId="36BC3D6A" w14:textId="77777777" w:rsidR="0087015B" w:rsidRDefault="0087015B" w:rsidP="0087015B">
      <w:pPr>
        <w:rPr>
          <w:lang w:val="en-AU" w:eastAsia="en-GB" w:bidi="ar-SA"/>
        </w:rPr>
      </w:pPr>
    </w:p>
    <w:p w14:paraId="6E8CDD7A" w14:textId="60FDED0D" w:rsidR="0087015B" w:rsidRPr="001E0CD5" w:rsidRDefault="00962D76" w:rsidP="00962D76">
      <w:pPr>
        <w:rPr>
          <w:color w:val="000000" w:themeColor="text1"/>
          <w:lang w:eastAsia="en-GB"/>
        </w:rPr>
      </w:pPr>
      <w:r>
        <w:rPr>
          <w:color w:val="000000" w:themeColor="text1"/>
          <w:lang w:eastAsia="en-GB"/>
        </w:rPr>
        <w:t xml:space="preserve">The Authority has approved the draft variation amending Schedule 26 of the Code to permit </w:t>
      </w:r>
      <w:r>
        <w:rPr>
          <w:lang w:val="en-AU" w:eastAsia="en-GB" w:bidi="ar-SA"/>
        </w:rPr>
        <w:t>the</w:t>
      </w:r>
      <w:r>
        <w:rPr>
          <w:color w:val="000000" w:themeColor="text1"/>
          <w:lang w:eastAsia="en-GB"/>
        </w:rPr>
        <w:t xml:space="preserve"> </w:t>
      </w:r>
      <w:r w:rsidR="00E05B7C">
        <w:rPr>
          <w:color w:val="000000" w:themeColor="text1"/>
          <w:lang w:eastAsia="en-GB"/>
        </w:rPr>
        <w:t>sale and use</w:t>
      </w:r>
      <w:r>
        <w:rPr>
          <w:color w:val="000000" w:themeColor="text1"/>
          <w:lang w:eastAsia="en-GB"/>
        </w:rPr>
        <w:t xml:space="preserve"> of food derived</w:t>
      </w:r>
      <w:r w:rsidRPr="003C2E01">
        <w:rPr>
          <w:szCs w:val="22"/>
        </w:rPr>
        <w:t xml:space="preserve"> </w:t>
      </w:r>
      <w:r w:rsidRPr="00425D0B">
        <w:rPr>
          <w:szCs w:val="22"/>
        </w:rPr>
        <w:t>from</w:t>
      </w:r>
      <w:r>
        <w:rPr>
          <w:szCs w:val="22"/>
        </w:rPr>
        <w:t xml:space="preserve"> </w:t>
      </w:r>
      <w:r w:rsidR="00E05B7C">
        <w:rPr>
          <w:color w:val="000000" w:themeColor="text1"/>
          <w:lang w:eastAsia="en-GB"/>
        </w:rPr>
        <w:t xml:space="preserve">GM </w:t>
      </w:r>
      <w:r w:rsidR="00684646">
        <w:rPr>
          <w:color w:val="000000" w:themeColor="text1"/>
          <w:lang w:eastAsia="en-GB"/>
        </w:rPr>
        <w:t>potato lines V11 and Z6</w:t>
      </w:r>
      <w:r w:rsidR="00556289">
        <w:rPr>
          <w:color w:val="000000" w:themeColor="text1"/>
          <w:lang w:eastAsia="en-GB"/>
        </w:rPr>
        <w:t xml:space="preserve"> in accordance with </w:t>
      </w:r>
      <w:r w:rsidR="00A1751C">
        <w:rPr>
          <w:color w:val="000000" w:themeColor="text1"/>
          <w:lang w:eastAsia="en-GB"/>
        </w:rPr>
        <w:t xml:space="preserve">the </w:t>
      </w:r>
      <w:r w:rsidR="00556289">
        <w:rPr>
          <w:color w:val="000000" w:themeColor="text1"/>
          <w:lang w:eastAsia="en-GB"/>
        </w:rPr>
        <w:t>Code</w:t>
      </w:r>
      <w:r w:rsidR="0087015B">
        <w:rPr>
          <w:color w:val="000000" w:themeColor="text1"/>
          <w:lang w:eastAsia="en-GB"/>
        </w:rPr>
        <w:t xml:space="preserve">. </w:t>
      </w:r>
    </w:p>
    <w:p w14:paraId="2D198696" w14:textId="77777777" w:rsidR="0087015B" w:rsidRDefault="0087015B" w:rsidP="0087015B">
      <w:pPr>
        <w:rPr>
          <w:lang w:val="en-AU" w:eastAsia="en-GB" w:bidi="ar-SA"/>
        </w:rPr>
      </w:pPr>
    </w:p>
    <w:p w14:paraId="474CE64F" w14:textId="77777777" w:rsidR="0087015B" w:rsidRPr="000576EB" w:rsidRDefault="0087015B" w:rsidP="0087015B">
      <w:pPr>
        <w:rPr>
          <w:b/>
          <w:lang w:val="en-AU" w:eastAsia="en-GB" w:bidi="ar-SA"/>
        </w:rPr>
      </w:pPr>
      <w:r w:rsidRPr="000576EB">
        <w:rPr>
          <w:b/>
          <w:lang w:val="en-AU" w:eastAsia="en-GB" w:bidi="ar-SA"/>
        </w:rPr>
        <w:t>3.</w:t>
      </w:r>
      <w:r w:rsidRPr="000576EB">
        <w:rPr>
          <w:b/>
          <w:lang w:val="en-AU" w:eastAsia="en-GB" w:bidi="ar-SA"/>
        </w:rPr>
        <w:tab/>
        <w:t>Documents incorporated by reference</w:t>
      </w:r>
    </w:p>
    <w:p w14:paraId="6C2C38EB" w14:textId="77777777" w:rsidR="0087015B" w:rsidRDefault="0087015B" w:rsidP="0087015B">
      <w:pPr>
        <w:rPr>
          <w:lang w:val="en-AU" w:eastAsia="en-GB" w:bidi="ar-SA"/>
        </w:rPr>
      </w:pPr>
    </w:p>
    <w:p w14:paraId="77906F80" w14:textId="77777777" w:rsidR="0087015B" w:rsidRPr="00D13E34" w:rsidRDefault="0087015B" w:rsidP="0087015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7B12837F" w14:textId="77777777" w:rsidR="0087015B" w:rsidRDefault="0087015B" w:rsidP="0087015B">
      <w:pPr>
        <w:rPr>
          <w:lang w:val="en-AU" w:eastAsia="en-GB" w:bidi="ar-SA"/>
        </w:rPr>
      </w:pPr>
    </w:p>
    <w:p w14:paraId="104BA509" w14:textId="77777777" w:rsidR="0087015B" w:rsidRPr="000576EB" w:rsidRDefault="0087015B" w:rsidP="0087015B">
      <w:pPr>
        <w:rPr>
          <w:b/>
          <w:lang w:val="en-AU" w:eastAsia="en-GB" w:bidi="ar-SA"/>
        </w:rPr>
      </w:pPr>
      <w:r w:rsidRPr="000576EB">
        <w:rPr>
          <w:b/>
          <w:lang w:val="en-AU" w:eastAsia="en-GB" w:bidi="ar-SA"/>
        </w:rPr>
        <w:t>4.</w:t>
      </w:r>
      <w:r w:rsidRPr="000576EB">
        <w:rPr>
          <w:b/>
          <w:lang w:val="en-AU" w:eastAsia="en-GB" w:bidi="ar-SA"/>
        </w:rPr>
        <w:tab/>
        <w:t>Consultation</w:t>
      </w:r>
    </w:p>
    <w:p w14:paraId="41071486" w14:textId="77777777" w:rsidR="0087015B" w:rsidRDefault="0087015B" w:rsidP="0087015B">
      <w:pPr>
        <w:rPr>
          <w:lang w:val="en-AU" w:eastAsia="en-GB" w:bidi="ar-SA"/>
        </w:rPr>
      </w:pPr>
    </w:p>
    <w:p w14:paraId="47AB32BE" w14:textId="44C9B800" w:rsidR="0087015B" w:rsidRPr="00D06616" w:rsidRDefault="0087015B" w:rsidP="0087015B">
      <w:pPr>
        <w:rPr>
          <w:color w:val="FF0000"/>
          <w:lang w:val="en-AU"/>
        </w:rPr>
      </w:pPr>
      <w:r w:rsidRPr="00F634A1">
        <w:rPr>
          <w:szCs w:val="22"/>
        </w:rPr>
        <w:t xml:space="preserve">In accordance with </w:t>
      </w:r>
      <w:r w:rsidRPr="00CF4AE4">
        <w:rPr>
          <w:szCs w:val="22"/>
        </w:rPr>
        <w:t xml:space="preserve">the procedure in Division 1 of Part 3 of the FSANZ Act, </w:t>
      </w:r>
      <w:r w:rsidRPr="00CF4AE4">
        <w:rPr>
          <w:rFonts w:eastAsia="Calibri" w:cs="Arial"/>
          <w:bCs/>
          <w:szCs w:val="22"/>
          <w:lang w:val="en-AU" w:bidi="ar-SA"/>
        </w:rPr>
        <w:t>the Authority</w:t>
      </w:r>
      <w:r w:rsidRPr="00CF4AE4">
        <w:rPr>
          <w:szCs w:val="22"/>
        </w:rPr>
        <w:t xml:space="preserve">’s consideration of </w:t>
      </w:r>
      <w:r>
        <w:rPr>
          <w:szCs w:val="22"/>
        </w:rPr>
        <w:t>Application</w:t>
      </w:r>
      <w:r w:rsidR="00684646">
        <w:rPr>
          <w:szCs w:val="22"/>
        </w:rPr>
        <w:t xml:space="preserve"> A1199</w:t>
      </w:r>
      <w:r w:rsidRPr="00CF4AE4">
        <w:rPr>
          <w:szCs w:val="22"/>
        </w:rPr>
        <w:t xml:space="preserve"> will include one round of public consultation following an assessment and the preparation of a draft variation. </w:t>
      </w:r>
    </w:p>
    <w:p w14:paraId="0DC6899B" w14:textId="77777777" w:rsidR="0087015B" w:rsidRDefault="0087015B" w:rsidP="0087015B">
      <w:pPr>
        <w:rPr>
          <w:color w:val="FF0000"/>
        </w:rPr>
      </w:pPr>
    </w:p>
    <w:p w14:paraId="1C7C8CB7" w14:textId="2AF9590C" w:rsidR="00C36BEC" w:rsidRPr="001A695A" w:rsidRDefault="00E80DFF" w:rsidP="00C36BEC">
      <w:pPr>
        <w:autoSpaceDE w:val="0"/>
        <w:autoSpaceDN w:val="0"/>
      </w:pPr>
      <w:r w:rsidRPr="00E80DFF">
        <w:t xml:space="preserve">The Office of Best Practice Regulation (OBPR), in a letter to FSANZ dated 24 November 2010, granted a standing exemption from the need for the OBPR to assess if a Regulatory Impact Statement is required for the approval of genetically modified foods (ref 12065). This standing exemption was provided as varying Schedule 26 is a consequential change of maintaining a permitted schedule of GM foods. Additionally, permitting new GM foods is deregulatory as using the GM technology will be voluntary if the application is approved. This standing exemption relates to the introduction of a food to the food supply that has been determined to be safe. As such, a Regulation Impact Statement was not required in this case as the sale of food derived from </w:t>
      </w:r>
      <w:r w:rsidR="0032110E">
        <w:t xml:space="preserve">GM </w:t>
      </w:r>
      <w:r w:rsidRPr="00E80DFF">
        <w:t>potato lines V11 and Z6, if approved, would be voluntary and would be likely to have a minor impact on business and individuals.</w:t>
      </w:r>
      <w:r w:rsidR="00C36BEC" w:rsidRPr="001A695A">
        <w:t xml:space="preserve"> </w:t>
      </w:r>
    </w:p>
    <w:p w14:paraId="3F7D8267" w14:textId="131D9ECA" w:rsidR="003B6AC7" w:rsidRDefault="003B6AC7" w:rsidP="003B6AC7"/>
    <w:p w14:paraId="236E9664" w14:textId="77777777" w:rsidR="0087015B" w:rsidRDefault="0087015B" w:rsidP="0087015B">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648C2EDA" w14:textId="77777777" w:rsidR="0087015B" w:rsidRDefault="0087015B" w:rsidP="0087015B">
      <w:pPr>
        <w:rPr>
          <w:rFonts w:eastAsiaTheme="minorHAnsi"/>
          <w:lang w:val="en-AU" w:bidi="ar-SA"/>
        </w:rPr>
      </w:pPr>
    </w:p>
    <w:p w14:paraId="70EE47B2" w14:textId="3CE21A3A" w:rsidR="0087015B" w:rsidRDefault="0087015B" w:rsidP="0087015B">
      <w:pPr>
        <w:rPr>
          <w:rFonts w:eastAsiaTheme="minorHAnsi"/>
          <w:lang w:val="en-AU" w:bidi="ar-SA"/>
        </w:rPr>
      </w:pPr>
      <w:r>
        <w:rPr>
          <w:rFonts w:eastAsiaTheme="minorHAnsi"/>
          <w:lang w:val="en-AU" w:bidi="ar-SA"/>
        </w:rPr>
        <w:t>This instrument is exempt from the requirements for a statement of compatibility with human rights as it is a non</w:t>
      </w:r>
      <w:r w:rsidR="00962D76">
        <w:rPr>
          <w:rFonts w:eastAsiaTheme="minorHAnsi"/>
          <w:lang w:val="en-AU" w:bidi="ar-SA"/>
        </w:rPr>
        <w:t>-disallowable instrument under s</w:t>
      </w:r>
      <w:r>
        <w:rPr>
          <w:rFonts w:eastAsiaTheme="minorHAnsi"/>
          <w:lang w:val="en-AU" w:bidi="ar-SA"/>
        </w:rPr>
        <w:t>ection 94 of the FSANZ Act.</w:t>
      </w:r>
    </w:p>
    <w:p w14:paraId="00416417" w14:textId="77777777" w:rsidR="0087015B" w:rsidRDefault="0087015B" w:rsidP="0087015B">
      <w:pPr>
        <w:rPr>
          <w:rFonts w:eastAsiaTheme="minorHAnsi"/>
          <w:lang w:val="en-AU" w:bidi="ar-SA"/>
        </w:rPr>
      </w:pPr>
    </w:p>
    <w:p w14:paraId="67A97389" w14:textId="77777777" w:rsidR="0087015B" w:rsidRPr="00700239" w:rsidRDefault="0087015B" w:rsidP="0087015B">
      <w:pPr>
        <w:rPr>
          <w:b/>
          <w:lang w:val="en-AU" w:eastAsia="en-GB" w:bidi="ar-SA"/>
        </w:rPr>
      </w:pPr>
      <w:r w:rsidRPr="00700239">
        <w:rPr>
          <w:b/>
        </w:rPr>
        <w:t>6.</w:t>
      </w:r>
      <w:r w:rsidRPr="00700239">
        <w:rPr>
          <w:b/>
        </w:rPr>
        <w:tab/>
      </w:r>
      <w:r w:rsidRPr="00700239">
        <w:rPr>
          <w:b/>
          <w:lang w:val="en-AU" w:eastAsia="en-GB" w:bidi="ar-SA"/>
        </w:rPr>
        <w:t>Variation</w:t>
      </w:r>
    </w:p>
    <w:p w14:paraId="6AC23CEA" w14:textId="77777777" w:rsidR="0087015B" w:rsidRPr="00AD344F" w:rsidRDefault="0087015B" w:rsidP="0087015B">
      <w:pPr>
        <w:rPr>
          <w:b/>
        </w:rPr>
      </w:pPr>
    </w:p>
    <w:p w14:paraId="6E9637F8" w14:textId="39C1A659" w:rsidR="007C174F" w:rsidRPr="003F5D41" w:rsidRDefault="0087015B" w:rsidP="003F5D41">
      <w:pPr>
        <w:rPr>
          <w:color w:val="000000" w:themeColor="text1"/>
        </w:rPr>
      </w:pPr>
      <w:r>
        <w:rPr>
          <w:color w:val="000000" w:themeColor="text1"/>
        </w:rPr>
        <w:t xml:space="preserve">Item [1] </w:t>
      </w:r>
      <w:r w:rsidR="00684646" w:rsidRPr="00A140EE">
        <w:t>inserts</w:t>
      </w:r>
      <w:r w:rsidR="00684646">
        <w:t xml:space="preserve"> new</w:t>
      </w:r>
      <w:r w:rsidR="00684646" w:rsidRPr="00A140EE">
        <w:t xml:space="preserve"> paragraph</w:t>
      </w:r>
      <w:r w:rsidR="00684646">
        <w:t>s (g</w:t>
      </w:r>
      <w:r w:rsidR="00684646" w:rsidRPr="00A140EE">
        <w:t xml:space="preserve">) </w:t>
      </w:r>
      <w:r w:rsidR="00684646">
        <w:t xml:space="preserve">and (h) </w:t>
      </w:r>
      <w:r>
        <w:rPr>
          <w:color w:val="000000" w:themeColor="text1"/>
        </w:rPr>
        <w:t xml:space="preserve">into </w:t>
      </w:r>
      <w:r w:rsidR="00684646">
        <w:rPr>
          <w:color w:val="000000" w:themeColor="text1"/>
        </w:rPr>
        <w:t>item 5</w:t>
      </w:r>
      <w:r w:rsidRPr="003B725F">
        <w:rPr>
          <w:color w:val="000000" w:themeColor="text1"/>
        </w:rPr>
        <w:t xml:space="preserve"> in the</w:t>
      </w:r>
      <w:r w:rsidRPr="001E0CD5">
        <w:rPr>
          <w:color w:val="000000" w:themeColor="text1"/>
        </w:rPr>
        <w:t xml:space="preserve"> table to subsection S26—3(4) </w:t>
      </w:r>
      <w:r>
        <w:rPr>
          <w:color w:val="000000" w:themeColor="text1"/>
        </w:rPr>
        <w:t>in</w:t>
      </w:r>
      <w:r w:rsidRPr="001E0CD5">
        <w:rPr>
          <w:color w:val="000000" w:themeColor="text1"/>
        </w:rPr>
        <w:t xml:space="preserve"> Schedule 26. </w:t>
      </w:r>
      <w:r w:rsidR="00684646" w:rsidRPr="00A140EE">
        <w:t>The new paragraph</w:t>
      </w:r>
      <w:r w:rsidR="00684646">
        <w:t>s</w:t>
      </w:r>
      <w:r w:rsidR="00684646" w:rsidRPr="00A140EE">
        <w:t xml:space="preserve"> refer to</w:t>
      </w:r>
      <w:r w:rsidR="003D4132">
        <w:t>:</w:t>
      </w:r>
      <w:r w:rsidR="00684646" w:rsidRPr="00A140EE">
        <w:t xml:space="preserve"> reduced acrylamide potential a</w:t>
      </w:r>
      <w:r w:rsidR="00684646">
        <w:t>nd reduced browning potato line V11</w:t>
      </w:r>
      <w:r w:rsidR="003D4132">
        <w:t>;</w:t>
      </w:r>
      <w:r w:rsidR="00684646" w:rsidRPr="00A140EE">
        <w:t xml:space="preserve"> and </w:t>
      </w:r>
      <w:r w:rsidR="00684646">
        <w:t>disease-</w:t>
      </w:r>
      <w:r w:rsidR="00684646" w:rsidRPr="00A140EE">
        <w:t>resistant, reduced acrylamide potential a</w:t>
      </w:r>
      <w:r w:rsidR="00684646">
        <w:t>nd reduced browning potato line</w:t>
      </w:r>
      <w:r w:rsidR="00684646" w:rsidRPr="00A140EE">
        <w:t xml:space="preserve"> </w:t>
      </w:r>
      <w:r w:rsidR="00684646">
        <w:t>Z6</w:t>
      </w:r>
      <w:r w:rsidR="00684646" w:rsidRPr="00A140EE">
        <w:t>.</w:t>
      </w:r>
      <w:r w:rsidR="00684646" w:rsidRPr="00A140EE">
        <w:rPr>
          <w:lang w:val="en-AU"/>
        </w:rPr>
        <w:t xml:space="preserve"> </w:t>
      </w:r>
      <w:r w:rsidRPr="001E0CD5">
        <w:rPr>
          <w:color w:val="000000" w:themeColor="text1"/>
          <w:lang w:val="en-AU"/>
        </w:rPr>
        <w:t xml:space="preserve">The effect of the variation is to permit </w:t>
      </w:r>
      <w:r w:rsidRPr="001E0CD5">
        <w:rPr>
          <w:color w:val="000000" w:themeColor="text1"/>
        </w:rPr>
        <w:t xml:space="preserve">the sale </w:t>
      </w:r>
      <w:r w:rsidR="00556289">
        <w:rPr>
          <w:color w:val="000000" w:themeColor="text1"/>
        </w:rPr>
        <w:t xml:space="preserve">and use </w:t>
      </w:r>
      <w:r w:rsidRPr="001E0CD5">
        <w:rPr>
          <w:color w:val="000000" w:themeColor="text1"/>
        </w:rPr>
        <w:t xml:space="preserve">of food </w:t>
      </w:r>
      <w:r>
        <w:rPr>
          <w:color w:val="000000" w:themeColor="text1"/>
        </w:rPr>
        <w:t xml:space="preserve">derived from </w:t>
      </w:r>
      <w:r w:rsidR="00684646">
        <w:rPr>
          <w:color w:val="000000" w:themeColor="text1"/>
        </w:rPr>
        <w:t xml:space="preserve">these </w:t>
      </w:r>
      <w:r w:rsidR="003D4132">
        <w:rPr>
          <w:color w:val="000000" w:themeColor="text1"/>
        </w:rPr>
        <w:t xml:space="preserve">two </w:t>
      </w:r>
      <w:r w:rsidR="00684646">
        <w:rPr>
          <w:color w:val="000000" w:themeColor="text1"/>
        </w:rPr>
        <w:t>potato</w:t>
      </w:r>
      <w:r w:rsidRPr="001E0CD5">
        <w:rPr>
          <w:color w:val="000000" w:themeColor="text1"/>
        </w:rPr>
        <w:t xml:space="preserve"> line</w:t>
      </w:r>
      <w:r w:rsidR="00684646">
        <w:rPr>
          <w:color w:val="000000" w:themeColor="text1"/>
        </w:rPr>
        <w:t>s</w:t>
      </w:r>
      <w:r w:rsidRPr="001E0CD5">
        <w:rPr>
          <w:color w:val="000000" w:themeColor="text1"/>
          <w:lang w:val="en-AU"/>
        </w:rPr>
        <w:t xml:space="preserve"> in accordance with </w:t>
      </w:r>
      <w:r w:rsidR="00556289">
        <w:rPr>
          <w:color w:val="000000" w:themeColor="text1"/>
          <w:lang w:val="en-AU"/>
        </w:rPr>
        <w:t>the Code</w:t>
      </w:r>
      <w:r w:rsidRPr="001E0CD5">
        <w:rPr>
          <w:color w:val="000000" w:themeColor="text1"/>
        </w:rPr>
        <w:t>.</w:t>
      </w:r>
    </w:p>
    <w:sectPr w:rsidR="007C174F" w:rsidRPr="003F5D41" w:rsidSect="00010A1B">
      <w:pgSz w:w="11906" w:h="16838"/>
      <w:pgMar w:top="113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A0AB7" w14:textId="77777777" w:rsidR="00B52417" w:rsidRDefault="00B52417">
      <w:r>
        <w:separator/>
      </w:r>
    </w:p>
  </w:endnote>
  <w:endnote w:type="continuationSeparator" w:id="0">
    <w:p w14:paraId="6AC035E1" w14:textId="77777777" w:rsidR="00B52417" w:rsidRDefault="00B52417">
      <w:r>
        <w:continuationSeparator/>
      </w:r>
    </w:p>
  </w:endnote>
  <w:endnote w:type="continuationNotice" w:id="1">
    <w:p w14:paraId="2BB1BA7E" w14:textId="77777777" w:rsidR="00B52417" w:rsidRDefault="00B52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57484" w14:textId="77777777" w:rsidR="00B52417" w:rsidRDefault="00B52417">
      <w:r>
        <w:separator/>
      </w:r>
    </w:p>
  </w:footnote>
  <w:footnote w:type="continuationSeparator" w:id="0">
    <w:p w14:paraId="7F6B30D1" w14:textId="77777777" w:rsidR="00B52417" w:rsidRDefault="00B52417">
      <w:r>
        <w:continuationSeparator/>
      </w:r>
    </w:p>
  </w:footnote>
  <w:footnote w:type="continuationNotice" w:id="1">
    <w:p w14:paraId="096C5AB5" w14:textId="77777777" w:rsidR="00B52417" w:rsidRDefault="00B52417"/>
  </w:footnote>
  <w:footnote w:id="2">
    <w:p w14:paraId="5850E51B" w14:textId="77777777" w:rsidR="00D05B15" w:rsidRPr="00615381" w:rsidRDefault="00D05B15" w:rsidP="006D2F76">
      <w:pPr>
        <w:pStyle w:val="FootnoteText"/>
      </w:pPr>
      <w:r>
        <w:rPr>
          <w:rStyle w:val="FootnoteReference"/>
        </w:rPr>
        <w:footnoteRef/>
      </w:r>
      <w:r>
        <w:t xml:space="preserve"> </w:t>
      </w:r>
      <w:hyperlink r:id="rId1" w:history="1">
        <w:r w:rsidRPr="00EB0654">
          <w:rPr>
            <w:rStyle w:val="Hyperlink"/>
            <w:sz w:val="18"/>
          </w:rPr>
          <w:t>https://www.foodstandards.gov.au/code/applications/Pages/A1199.aspx</w:t>
        </w:r>
      </w:hyperlink>
    </w:p>
  </w:footnote>
  <w:footnote w:id="3">
    <w:p w14:paraId="0BAECF58" w14:textId="660BDD53" w:rsidR="00D05B15" w:rsidRDefault="00D05B15">
      <w:pPr>
        <w:pStyle w:val="FootnoteText"/>
        <w:rPr>
          <w:lang w:val="en-AU"/>
        </w:rPr>
      </w:pPr>
      <w:r>
        <w:rPr>
          <w:rStyle w:val="FootnoteReference"/>
        </w:rPr>
        <w:footnoteRef/>
      </w:r>
      <w:r>
        <w:t xml:space="preserve"> </w:t>
      </w:r>
      <w:r>
        <w:rPr>
          <w:lang w:val="en-AU"/>
        </w:rPr>
        <w:t xml:space="preserve">Guideline 3.5.1 B.2 (p. 105); </w:t>
      </w:r>
      <w:hyperlink r:id="rId2" w:history="1">
        <w:r w:rsidRPr="00B17D02">
          <w:rPr>
            <w:rStyle w:val="Hyperlink"/>
            <w:lang w:val="en-AU"/>
          </w:rPr>
          <w:t>https://www.foodstandards.gov.au/code/changes/pages/applicationshandbook.aspx</w:t>
        </w:r>
      </w:hyperlink>
    </w:p>
    <w:p w14:paraId="60185FEA" w14:textId="77777777" w:rsidR="00D05B15" w:rsidRPr="00042413" w:rsidRDefault="00D05B15">
      <w:pPr>
        <w:pStyle w:val="FootnoteText"/>
        <w:rPr>
          <w:lang w:val="en-AU"/>
        </w:rPr>
      </w:pPr>
    </w:p>
  </w:footnote>
  <w:footnote w:id="4">
    <w:p w14:paraId="59A0AB6A" w14:textId="10897D91" w:rsidR="00D05B15" w:rsidRPr="008449A9" w:rsidRDefault="00D05B15">
      <w:pPr>
        <w:pStyle w:val="FootnoteText"/>
      </w:pPr>
      <w:r>
        <w:rPr>
          <w:rStyle w:val="FootnoteReference"/>
        </w:rPr>
        <w:footnoteRef/>
      </w:r>
      <w:r>
        <w:t xml:space="preserve"> </w:t>
      </w:r>
      <w:hyperlink r:id="rId3" w:history="1">
        <w:r w:rsidRPr="006B69F1">
          <w:rPr>
            <w:rStyle w:val="Hyperlink"/>
          </w:rPr>
          <w:t>https://www.foodstandards.gov.au/code/applications/Pages/A1199.aspx</w:t>
        </w:r>
      </w:hyperlink>
    </w:p>
  </w:footnote>
  <w:footnote w:id="5">
    <w:p w14:paraId="10E51F4C" w14:textId="36D74C0D" w:rsidR="00D05B15" w:rsidRPr="004E3B9B" w:rsidRDefault="00D05B15">
      <w:pPr>
        <w:pStyle w:val="FootnoteText"/>
      </w:pPr>
      <w:r>
        <w:rPr>
          <w:rStyle w:val="FootnoteReference"/>
        </w:rPr>
        <w:footnoteRef/>
      </w:r>
      <w:r>
        <w:t xml:space="preserve"> </w:t>
      </w:r>
      <w:hyperlink r:id="rId4" w:history="1">
        <w:r w:rsidRPr="00FB0342">
          <w:rPr>
            <w:rStyle w:val="Hyperlink"/>
            <w:sz w:val="18"/>
          </w:rPr>
          <w:t>https://efsa.onlinelibrary.wiley.com/doi/abs/10.2903/sp.efsa.2017.EN-1249</w:t>
        </w:r>
      </w:hyperlink>
    </w:p>
  </w:footnote>
  <w:footnote w:id="6">
    <w:p w14:paraId="4D8A7DAC" w14:textId="77777777" w:rsidR="00D05B15" w:rsidRPr="00347F28" w:rsidRDefault="00D05B15">
      <w:pPr>
        <w:pStyle w:val="FootnoteText"/>
      </w:pPr>
      <w:r>
        <w:rPr>
          <w:rStyle w:val="FootnoteReference"/>
        </w:rPr>
        <w:footnoteRef/>
      </w:r>
      <w:r>
        <w:t xml:space="preserve"> </w:t>
      </w:r>
      <w:hyperlink r:id="rId5" w:history="1">
        <w:r w:rsidRPr="00FB0342">
          <w:rPr>
            <w:rStyle w:val="Hyperlink"/>
            <w:sz w:val="18"/>
          </w:rPr>
          <w:t>https://www.foodstandards.gov.au/consumer/gmfood/labelling/Pages/default.aspx</w:t>
        </w:r>
      </w:hyperlink>
    </w:p>
  </w:footnote>
  <w:footnote w:id="7">
    <w:p w14:paraId="29F7FDC7" w14:textId="45BE1833" w:rsidR="00D05B15" w:rsidRPr="00FB0342" w:rsidRDefault="00D05B15">
      <w:pPr>
        <w:pStyle w:val="FootnoteText"/>
      </w:pPr>
      <w:r>
        <w:rPr>
          <w:rStyle w:val="FootnoteReference"/>
        </w:rPr>
        <w:footnoteRef/>
      </w:r>
      <w:r>
        <w:t xml:space="preserve"> </w:t>
      </w:r>
      <w:hyperlink r:id="rId6" w:history="1">
        <w:r w:rsidRPr="00FB0342">
          <w:rPr>
            <w:rStyle w:val="Hyperlink"/>
            <w:sz w:val="18"/>
          </w:rPr>
          <w:t>https://www.foodstandards.gov.au/consumer/gmfood/adverse/Pages/default.aspx</w:t>
        </w:r>
      </w:hyperlink>
    </w:p>
  </w:footnote>
  <w:footnote w:id="8">
    <w:p w14:paraId="146D3096" w14:textId="724CBDC7" w:rsidR="00D05B15" w:rsidRPr="009437EC" w:rsidRDefault="00D05B15">
      <w:pPr>
        <w:pStyle w:val="FootnoteText"/>
        <w:rPr>
          <w:sz w:val="18"/>
          <w:szCs w:val="18"/>
        </w:rPr>
      </w:pPr>
      <w:r>
        <w:rPr>
          <w:rStyle w:val="FootnoteReference"/>
        </w:rPr>
        <w:footnoteRef/>
      </w:r>
      <w:r>
        <w:t xml:space="preserve"> </w:t>
      </w:r>
      <w:hyperlink r:id="rId7" w:history="1">
        <w:r w:rsidRPr="00172E73">
          <w:rPr>
            <w:rStyle w:val="Hyperlink"/>
            <w:sz w:val="18"/>
            <w:szCs w:val="18"/>
          </w:rPr>
          <w:t>https://www.foodstandards.gov.au/consumer/gmfood/Pages/roleofanimalfeedings3717.aspx</w:t>
        </w:r>
      </w:hyperlink>
    </w:p>
  </w:footnote>
  <w:footnote w:id="9">
    <w:p w14:paraId="7A353292" w14:textId="4D94692E" w:rsidR="00D05B15" w:rsidRPr="00290DD5" w:rsidRDefault="00D05B15">
      <w:pPr>
        <w:pStyle w:val="FootnoteText"/>
      </w:pPr>
      <w:r>
        <w:rPr>
          <w:rStyle w:val="FootnoteReference"/>
        </w:rPr>
        <w:footnoteRef/>
      </w:r>
      <w:r>
        <w:t xml:space="preserve"> </w:t>
      </w:r>
      <w:hyperlink r:id="rId8" w:history="1">
        <w:r w:rsidRPr="00943DBB">
          <w:rPr>
            <w:rStyle w:val="Hyperlink"/>
          </w:rPr>
          <w:t>https://www.foodstandards.gov.au/consumer/chemicals/acrylamide/Pages/default.aspx</w:t>
        </w:r>
      </w:hyperlink>
    </w:p>
  </w:footnote>
  <w:footnote w:id="10">
    <w:p w14:paraId="505AE6FF" w14:textId="69604DD5" w:rsidR="00D05B15" w:rsidRPr="00290DD5" w:rsidRDefault="00D05B15">
      <w:pPr>
        <w:pStyle w:val="FootnoteText"/>
      </w:pPr>
      <w:r>
        <w:rPr>
          <w:rStyle w:val="FootnoteReference"/>
        </w:rPr>
        <w:footnoteRef/>
      </w:r>
      <w:r>
        <w:t xml:space="preserve"> </w:t>
      </w:r>
      <w:hyperlink r:id="rId9" w:history="1">
        <w:r w:rsidRPr="00943DBB">
          <w:rPr>
            <w:rStyle w:val="Hyperlink"/>
          </w:rPr>
          <w:t>https://www.foodstandards.gov.au/industry/Pages/Reducing-acrylamide-exposure-in-food.aspx</w:t>
        </w:r>
      </w:hyperlink>
    </w:p>
  </w:footnote>
  <w:footnote w:id="11">
    <w:p w14:paraId="76EBF3B0" w14:textId="77777777" w:rsidR="00D05B15" w:rsidRPr="0087728B" w:rsidRDefault="00D05B15" w:rsidP="007302EB">
      <w:pPr>
        <w:pStyle w:val="FootnoteText"/>
      </w:pPr>
      <w:r>
        <w:rPr>
          <w:rStyle w:val="FootnoteReference"/>
        </w:rPr>
        <w:footnoteRef/>
      </w:r>
      <w:r>
        <w:t xml:space="preserve"> </w:t>
      </w:r>
      <w:hyperlink r:id="rId10" w:history="1">
        <w:r w:rsidRPr="00943DBB">
          <w:rPr>
            <w:rStyle w:val="Hyperlink"/>
          </w:rPr>
          <w:t>https://www.foodstandards.gov.au/code/applications/Pages/A1199.aspx</w:t>
        </w:r>
      </w:hyperlink>
    </w:p>
  </w:footnote>
  <w:footnote w:id="12">
    <w:p w14:paraId="5025C4A1" w14:textId="409EAD1A" w:rsidR="00D05B15" w:rsidRPr="0018655E" w:rsidRDefault="00D05B15">
      <w:pPr>
        <w:pStyle w:val="FootnoteText"/>
      </w:pPr>
      <w:r>
        <w:rPr>
          <w:rStyle w:val="FootnoteReference"/>
        </w:rPr>
        <w:footnoteRef/>
      </w:r>
      <w:r>
        <w:t xml:space="preserve"> </w:t>
      </w:r>
      <w:hyperlink r:id="rId11" w:history="1">
        <w:r w:rsidRPr="00AF7621">
          <w:rPr>
            <w:rStyle w:val="Hyperlink"/>
          </w:rPr>
          <w:t>https://www.foodstandards.gov.au/code/changes/pages/applicationshandbook.aspx</w:t>
        </w:r>
      </w:hyperlink>
    </w:p>
  </w:footnote>
  <w:footnote w:id="13">
    <w:p w14:paraId="6CA7DE57" w14:textId="77777777" w:rsidR="00D05B15" w:rsidRPr="00702C8A" w:rsidRDefault="00D05B15" w:rsidP="00F21CA7">
      <w:pPr>
        <w:pStyle w:val="FootnoteText"/>
        <w:rPr>
          <w:lang w:val="en-AU"/>
        </w:rPr>
      </w:pPr>
      <w:r>
        <w:rPr>
          <w:rStyle w:val="FootnoteReference"/>
        </w:rPr>
        <w:footnoteRef/>
      </w:r>
      <w:r>
        <w:t xml:space="preserve"> </w:t>
      </w:r>
      <w:hyperlink r:id="rId12" w:history="1">
        <w:r w:rsidRPr="00097D57">
          <w:rPr>
            <w:rStyle w:val="Hyperlink"/>
            <w:rFonts w:cs="Arial"/>
            <w:color w:val="0000FF"/>
            <w:szCs w:val="18"/>
          </w:rPr>
          <w:t>http://www.foodstandards.gov.au/consumer/gmfood/recombinantdna/Pages/default.aspx</w:t>
        </w:r>
      </w:hyperlink>
    </w:p>
  </w:footnote>
  <w:footnote w:id="14">
    <w:p w14:paraId="1DE46403" w14:textId="0041E08F" w:rsidR="00D05B15" w:rsidRPr="0087728B" w:rsidRDefault="00D05B15">
      <w:pPr>
        <w:pStyle w:val="FootnoteText"/>
      </w:pPr>
      <w:r>
        <w:rPr>
          <w:rStyle w:val="FootnoteReference"/>
        </w:rPr>
        <w:footnoteRef/>
      </w:r>
      <w:r>
        <w:t xml:space="preserve"> </w:t>
      </w:r>
      <w:hyperlink r:id="rId13" w:history="1">
        <w:r w:rsidRPr="00943DBB">
          <w:rPr>
            <w:rStyle w:val="Hyperlink"/>
          </w:rPr>
          <w:t>https://www.foodstandards.gov.au/code/applications/Pages/A1199.aspx</w:t>
        </w:r>
      </w:hyperlink>
    </w:p>
  </w:footnote>
  <w:footnote w:id="15">
    <w:p w14:paraId="6D023E66" w14:textId="77777777" w:rsidR="00D05B15" w:rsidRPr="00C01290" w:rsidRDefault="00D05B15" w:rsidP="006D76EE">
      <w:pPr>
        <w:pStyle w:val="FootnoteText"/>
        <w:rPr>
          <w:sz w:val="18"/>
          <w:szCs w:val="18"/>
          <w:lang w:val="en-AU"/>
        </w:rPr>
      </w:pPr>
      <w:r w:rsidRPr="00C01290">
        <w:rPr>
          <w:rStyle w:val="FootnoteReference"/>
          <w:sz w:val="18"/>
          <w:szCs w:val="18"/>
        </w:rPr>
        <w:footnoteRef/>
      </w:r>
      <w:r w:rsidRPr="00C01290">
        <w:rPr>
          <w:sz w:val="18"/>
          <w:szCs w:val="18"/>
        </w:rPr>
        <w:t xml:space="preserve"> </w:t>
      </w:r>
      <w:hyperlink r:id="rId14" w:history="1">
        <w:r w:rsidRPr="00C01290">
          <w:rPr>
            <w:rStyle w:val="Hyperlink"/>
            <w:sz w:val="18"/>
            <w:szCs w:val="18"/>
          </w:rPr>
          <w:t>http://www.foodstandards.gov.au/consumer/gmfood/adverse/Pages/default.aspx</w:t>
        </w:r>
      </w:hyperlink>
    </w:p>
  </w:footnote>
  <w:footnote w:id="16">
    <w:p w14:paraId="0A20B45D" w14:textId="77777777" w:rsidR="00D05B15" w:rsidRPr="00A27308" w:rsidRDefault="00D05B15" w:rsidP="006D76EE">
      <w:pPr>
        <w:pStyle w:val="FootnoteText"/>
      </w:pPr>
      <w:r w:rsidRPr="00C01290">
        <w:rPr>
          <w:rStyle w:val="FootnoteReference"/>
          <w:sz w:val="18"/>
          <w:szCs w:val="18"/>
        </w:rPr>
        <w:footnoteRef/>
      </w:r>
      <w:r w:rsidRPr="00C01290">
        <w:rPr>
          <w:sz w:val="18"/>
          <w:szCs w:val="18"/>
        </w:rPr>
        <w:t xml:space="preserve"> </w:t>
      </w:r>
      <w:hyperlink r:id="rId15" w:history="1">
        <w:r w:rsidRPr="00C01290">
          <w:rPr>
            <w:rStyle w:val="Hyperlink"/>
            <w:sz w:val="18"/>
            <w:szCs w:val="18"/>
          </w:rPr>
          <w:t>https://www.foodstandards.gov.au/consumer/gmfood/gmoverview/Pages/default.aspx</w:t>
        </w:r>
      </w:hyperlink>
    </w:p>
  </w:footnote>
  <w:footnote w:id="17">
    <w:p w14:paraId="515DAB54" w14:textId="7D2E9CED" w:rsidR="00D05B15" w:rsidRPr="005E69D1" w:rsidRDefault="00D05B15">
      <w:pPr>
        <w:pStyle w:val="FootnoteText"/>
      </w:pPr>
      <w:r>
        <w:rPr>
          <w:rStyle w:val="FootnoteReference"/>
        </w:rPr>
        <w:footnoteRef/>
      </w:r>
      <w:r>
        <w:t xml:space="preserve"> </w:t>
      </w:r>
      <w:hyperlink r:id="rId16" w:history="1">
        <w:r w:rsidRPr="00943DBB">
          <w:rPr>
            <w:rStyle w:val="Hyperlink"/>
          </w:rPr>
          <w:t>https://www.foodstandards.gov.au/consumer/gmfood/cry1ab/pages/default.aspx</w:t>
        </w:r>
      </w:hyperlink>
    </w:p>
  </w:footnote>
  <w:footnote w:id="18">
    <w:p w14:paraId="7D65DFFC" w14:textId="2BC403B6" w:rsidR="00D05B15" w:rsidRPr="0077633F" w:rsidRDefault="00D05B15">
      <w:pPr>
        <w:pStyle w:val="FootnoteText"/>
        <w:rPr>
          <w:lang w:val="en-AU"/>
        </w:rPr>
      </w:pPr>
      <w:r>
        <w:rPr>
          <w:rStyle w:val="FootnoteReference"/>
        </w:rPr>
        <w:footnoteRef/>
      </w:r>
      <w:r w:rsidRPr="00EC0BB7">
        <w:rPr>
          <w:sz w:val="18"/>
        </w:rPr>
        <w:t xml:space="preserve"> </w:t>
      </w:r>
      <w:hyperlink r:id="rId17" w:history="1">
        <w:r w:rsidRPr="00EC0BB7">
          <w:rPr>
            <w:rStyle w:val="Hyperlink"/>
            <w:sz w:val="18"/>
          </w:rPr>
          <w:t>https://www.foodstandards.gov.au/consumer/chemicals/acrylamide/Pages/default.aspx</w:t>
        </w:r>
      </w:hyperlink>
    </w:p>
  </w:footnote>
  <w:footnote w:id="19">
    <w:p w14:paraId="191521C3" w14:textId="77777777" w:rsidR="00D05B15" w:rsidRDefault="00D05B15" w:rsidP="00EE2E41">
      <w:pPr>
        <w:pStyle w:val="FootnoteText"/>
        <w:rPr>
          <w:lang w:val="en-AU"/>
        </w:rPr>
      </w:pPr>
      <w:r>
        <w:rPr>
          <w:rStyle w:val="FootnoteReference"/>
        </w:rPr>
        <w:footnoteRef/>
      </w:r>
      <w:r>
        <w:t xml:space="preserve"> </w:t>
      </w:r>
      <w:r>
        <w:rPr>
          <w:sz w:val="18"/>
          <w:szCs w:val="18"/>
          <w:lang w:val="en-AU"/>
        </w:rPr>
        <w:t>Now known as the Implementation Subcommittee for Food Regulation</w:t>
      </w:r>
    </w:p>
  </w:footnote>
  <w:footnote w:id="20">
    <w:p w14:paraId="7F73998C" w14:textId="77777777" w:rsidR="00D05B15" w:rsidRDefault="00D05B15" w:rsidP="00F60FF9">
      <w:pPr>
        <w:pStyle w:val="FootnoteText"/>
        <w:rPr>
          <w:lang w:val="en-AU"/>
        </w:rPr>
      </w:pPr>
      <w:r>
        <w:rPr>
          <w:rStyle w:val="FootnoteReference"/>
          <w:sz w:val="18"/>
        </w:rPr>
        <w:footnoteRef/>
      </w:r>
      <w:r>
        <w:rPr>
          <w:sz w:val="18"/>
        </w:rPr>
        <w:t xml:space="preserve"> </w:t>
      </w:r>
      <w:hyperlink r:id="rId18" w:history="1">
        <w:r>
          <w:rPr>
            <w:rStyle w:val="Hyperlink"/>
            <w:sz w:val="18"/>
          </w:rPr>
          <w:t>http://www.foodstandards.gov.au/code/changes/pages/applicationshandbook.aspx</w:t>
        </w:r>
      </w:hyperlink>
      <w:r>
        <w:rPr>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25145"/>
    <w:multiLevelType w:val="hybridMultilevel"/>
    <w:tmpl w:val="C976712C"/>
    <w:lvl w:ilvl="0" w:tplc="6D3C00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6441CE"/>
    <w:multiLevelType w:val="hybridMultilevel"/>
    <w:tmpl w:val="9E3CF284"/>
    <w:lvl w:ilvl="0" w:tplc="ACCA4230">
      <w:numFmt w:val="bullet"/>
      <w:lvlText w:val="-"/>
      <w:lvlJc w:val="left"/>
      <w:pPr>
        <w:ind w:left="720" w:hanging="360"/>
      </w:pPr>
      <w:rPr>
        <w:rFonts w:ascii="Arial" w:eastAsia="Times New Roman" w:hAnsi="Aria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7084554D"/>
    <w:multiLevelType w:val="hybridMultilevel"/>
    <w:tmpl w:val="7458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9"/>
  </w:num>
  <w:num w:numId="3">
    <w:abstractNumId w:val="0"/>
  </w:num>
  <w:num w:numId="4">
    <w:abstractNumId w:val="1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8"/>
  </w:num>
  <w:num w:numId="9">
    <w:abstractNumId w:val="3"/>
  </w:num>
  <w:num w:numId="10">
    <w:abstractNumId w:val="6"/>
  </w:num>
  <w:num w:numId="11">
    <w:abstractNumId w:val="11"/>
  </w:num>
  <w:num w:numId="12">
    <w:abstractNumId w:val="9"/>
  </w:num>
  <w:num w:numId="13">
    <w:abstractNumId w:val="2"/>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B5"/>
    <w:rsid w:val="000013BD"/>
    <w:rsid w:val="00001CF2"/>
    <w:rsid w:val="0000247B"/>
    <w:rsid w:val="00004274"/>
    <w:rsid w:val="0000469B"/>
    <w:rsid w:val="00004C37"/>
    <w:rsid w:val="00007A94"/>
    <w:rsid w:val="00010A1B"/>
    <w:rsid w:val="0001420A"/>
    <w:rsid w:val="00014561"/>
    <w:rsid w:val="0001460A"/>
    <w:rsid w:val="00014D29"/>
    <w:rsid w:val="00015955"/>
    <w:rsid w:val="00015FFF"/>
    <w:rsid w:val="00016CB6"/>
    <w:rsid w:val="00016EF2"/>
    <w:rsid w:val="000201D7"/>
    <w:rsid w:val="00022DBC"/>
    <w:rsid w:val="00024691"/>
    <w:rsid w:val="000260EF"/>
    <w:rsid w:val="000276F0"/>
    <w:rsid w:val="00032755"/>
    <w:rsid w:val="000343EB"/>
    <w:rsid w:val="00034F87"/>
    <w:rsid w:val="00035714"/>
    <w:rsid w:val="00035FF3"/>
    <w:rsid w:val="00036FDC"/>
    <w:rsid w:val="00037876"/>
    <w:rsid w:val="00042413"/>
    <w:rsid w:val="000427B2"/>
    <w:rsid w:val="00051021"/>
    <w:rsid w:val="00051ED9"/>
    <w:rsid w:val="00052E99"/>
    <w:rsid w:val="00054AEF"/>
    <w:rsid w:val="000564DE"/>
    <w:rsid w:val="00057181"/>
    <w:rsid w:val="00061D48"/>
    <w:rsid w:val="00064B2D"/>
    <w:rsid w:val="00065F1F"/>
    <w:rsid w:val="0006627D"/>
    <w:rsid w:val="000735FD"/>
    <w:rsid w:val="0007466A"/>
    <w:rsid w:val="00076D33"/>
    <w:rsid w:val="000778D6"/>
    <w:rsid w:val="00077FE7"/>
    <w:rsid w:val="00082FFD"/>
    <w:rsid w:val="0008686E"/>
    <w:rsid w:val="00086E97"/>
    <w:rsid w:val="0008706C"/>
    <w:rsid w:val="000877DD"/>
    <w:rsid w:val="00091CC2"/>
    <w:rsid w:val="00096614"/>
    <w:rsid w:val="000A0A92"/>
    <w:rsid w:val="000A27E9"/>
    <w:rsid w:val="000A3D8B"/>
    <w:rsid w:val="000A5DF8"/>
    <w:rsid w:val="000A62C6"/>
    <w:rsid w:val="000B2C5B"/>
    <w:rsid w:val="000B47F4"/>
    <w:rsid w:val="000B59CF"/>
    <w:rsid w:val="000B613E"/>
    <w:rsid w:val="000B6942"/>
    <w:rsid w:val="000B6AF2"/>
    <w:rsid w:val="000C3EE7"/>
    <w:rsid w:val="000C412C"/>
    <w:rsid w:val="000C4EC0"/>
    <w:rsid w:val="000C6192"/>
    <w:rsid w:val="000C79B7"/>
    <w:rsid w:val="000D0EE4"/>
    <w:rsid w:val="000D116A"/>
    <w:rsid w:val="000D295F"/>
    <w:rsid w:val="000D6FD4"/>
    <w:rsid w:val="000D727F"/>
    <w:rsid w:val="000E0AE4"/>
    <w:rsid w:val="000E3DBC"/>
    <w:rsid w:val="000E41BB"/>
    <w:rsid w:val="000E5808"/>
    <w:rsid w:val="000E6E26"/>
    <w:rsid w:val="000F1B5A"/>
    <w:rsid w:val="000F3D86"/>
    <w:rsid w:val="000F7437"/>
    <w:rsid w:val="0010093B"/>
    <w:rsid w:val="001020B7"/>
    <w:rsid w:val="00113669"/>
    <w:rsid w:val="00113CE3"/>
    <w:rsid w:val="00113DD8"/>
    <w:rsid w:val="0011443D"/>
    <w:rsid w:val="001144E5"/>
    <w:rsid w:val="00114E35"/>
    <w:rsid w:val="00117522"/>
    <w:rsid w:val="001213F4"/>
    <w:rsid w:val="001239D7"/>
    <w:rsid w:val="0012547D"/>
    <w:rsid w:val="00136AF5"/>
    <w:rsid w:val="00136C0A"/>
    <w:rsid w:val="00137D11"/>
    <w:rsid w:val="0014233F"/>
    <w:rsid w:val="00151550"/>
    <w:rsid w:val="001527DA"/>
    <w:rsid w:val="00153DFC"/>
    <w:rsid w:val="001542D8"/>
    <w:rsid w:val="0016101D"/>
    <w:rsid w:val="001632C2"/>
    <w:rsid w:val="00164D41"/>
    <w:rsid w:val="00172772"/>
    <w:rsid w:val="00174914"/>
    <w:rsid w:val="00174F9F"/>
    <w:rsid w:val="0018080A"/>
    <w:rsid w:val="00180C41"/>
    <w:rsid w:val="00180D6C"/>
    <w:rsid w:val="001824C4"/>
    <w:rsid w:val="00182C4C"/>
    <w:rsid w:val="00184F08"/>
    <w:rsid w:val="0018528B"/>
    <w:rsid w:val="0018655E"/>
    <w:rsid w:val="00186BD1"/>
    <w:rsid w:val="00193971"/>
    <w:rsid w:val="00193BE1"/>
    <w:rsid w:val="0019507B"/>
    <w:rsid w:val="00195254"/>
    <w:rsid w:val="00197D8D"/>
    <w:rsid w:val="001A0C9F"/>
    <w:rsid w:val="001A1A75"/>
    <w:rsid w:val="001A567B"/>
    <w:rsid w:val="001A7E9A"/>
    <w:rsid w:val="001B176D"/>
    <w:rsid w:val="001B1B10"/>
    <w:rsid w:val="001B2772"/>
    <w:rsid w:val="001B3773"/>
    <w:rsid w:val="001B4E55"/>
    <w:rsid w:val="001C091D"/>
    <w:rsid w:val="001C1798"/>
    <w:rsid w:val="001C27A3"/>
    <w:rsid w:val="001C282C"/>
    <w:rsid w:val="001C2F33"/>
    <w:rsid w:val="001C31AB"/>
    <w:rsid w:val="001C3D2F"/>
    <w:rsid w:val="001C402B"/>
    <w:rsid w:val="001C5295"/>
    <w:rsid w:val="001C6E80"/>
    <w:rsid w:val="001D0D2F"/>
    <w:rsid w:val="001D1F82"/>
    <w:rsid w:val="001D3186"/>
    <w:rsid w:val="001D6EC8"/>
    <w:rsid w:val="001E09FA"/>
    <w:rsid w:val="001E1410"/>
    <w:rsid w:val="001E2FCD"/>
    <w:rsid w:val="001F4002"/>
    <w:rsid w:val="001F4745"/>
    <w:rsid w:val="001F5B9C"/>
    <w:rsid w:val="001F6652"/>
    <w:rsid w:val="001F719F"/>
    <w:rsid w:val="001F74B2"/>
    <w:rsid w:val="002004A7"/>
    <w:rsid w:val="00203540"/>
    <w:rsid w:val="00203CB7"/>
    <w:rsid w:val="00205783"/>
    <w:rsid w:val="00205BD3"/>
    <w:rsid w:val="002066DD"/>
    <w:rsid w:val="0021127E"/>
    <w:rsid w:val="00212583"/>
    <w:rsid w:val="00217703"/>
    <w:rsid w:val="002207A0"/>
    <w:rsid w:val="00221D07"/>
    <w:rsid w:val="00222954"/>
    <w:rsid w:val="00223079"/>
    <w:rsid w:val="0022573B"/>
    <w:rsid w:val="00227E4A"/>
    <w:rsid w:val="002304E3"/>
    <w:rsid w:val="00233991"/>
    <w:rsid w:val="00237B0C"/>
    <w:rsid w:val="002426BC"/>
    <w:rsid w:val="002432EE"/>
    <w:rsid w:val="002451A9"/>
    <w:rsid w:val="0024582E"/>
    <w:rsid w:val="0024625A"/>
    <w:rsid w:val="00247930"/>
    <w:rsid w:val="0025110B"/>
    <w:rsid w:val="0025446F"/>
    <w:rsid w:val="002547EF"/>
    <w:rsid w:val="00256D65"/>
    <w:rsid w:val="002644A4"/>
    <w:rsid w:val="002666C8"/>
    <w:rsid w:val="00266E5C"/>
    <w:rsid w:val="00271F00"/>
    <w:rsid w:val="00272518"/>
    <w:rsid w:val="00273A80"/>
    <w:rsid w:val="00274AA7"/>
    <w:rsid w:val="0027513D"/>
    <w:rsid w:val="00276026"/>
    <w:rsid w:val="00280AE7"/>
    <w:rsid w:val="0028290A"/>
    <w:rsid w:val="00282F61"/>
    <w:rsid w:val="002851C8"/>
    <w:rsid w:val="00290BBC"/>
    <w:rsid w:val="00290DD5"/>
    <w:rsid w:val="0029204E"/>
    <w:rsid w:val="00294BAD"/>
    <w:rsid w:val="0029631C"/>
    <w:rsid w:val="002A0194"/>
    <w:rsid w:val="002A099F"/>
    <w:rsid w:val="002A0FCC"/>
    <w:rsid w:val="002A2696"/>
    <w:rsid w:val="002A5E43"/>
    <w:rsid w:val="002A5F8B"/>
    <w:rsid w:val="002A7483"/>
    <w:rsid w:val="002A7F6C"/>
    <w:rsid w:val="002B0D8E"/>
    <w:rsid w:val="002B1EC5"/>
    <w:rsid w:val="002B24C7"/>
    <w:rsid w:val="002B39A3"/>
    <w:rsid w:val="002C0758"/>
    <w:rsid w:val="002C24AC"/>
    <w:rsid w:val="002C4A91"/>
    <w:rsid w:val="002C759E"/>
    <w:rsid w:val="002C784D"/>
    <w:rsid w:val="002D4177"/>
    <w:rsid w:val="002D4E99"/>
    <w:rsid w:val="002D6809"/>
    <w:rsid w:val="002D7245"/>
    <w:rsid w:val="002D74A2"/>
    <w:rsid w:val="002E086A"/>
    <w:rsid w:val="002E305C"/>
    <w:rsid w:val="002E6959"/>
    <w:rsid w:val="002F2D8D"/>
    <w:rsid w:val="002F3F3B"/>
    <w:rsid w:val="002F5B96"/>
    <w:rsid w:val="002F6488"/>
    <w:rsid w:val="002F7B74"/>
    <w:rsid w:val="0030279C"/>
    <w:rsid w:val="0030578E"/>
    <w:rsid w:val="00307D1B"/>
    <w:rsid w:val="00310E84"/>
    <w:rsid w:val="00315418"/>
    <w:rsid w:val="00315A71"/>
    <w:rsid w:val="003175AC"/>
    <w:rsid w:val="003204DC"/>
    <w:rsid w:val="0032110E"/>
    <w:rsid w:val="003213F9"/>
    <w:rsid w:val="00323DBF"/>
    <w:rsid w:val="0032437E"/>
    <w:rsid w:val="003309A8"/>
    <w:rsid w:val="00332B12"/>
    <w:rsid w:val="00332D64"/>
    <w:rsid w:val="0033470E"/>
    <w:rsid w:val="003351E9"/>
    <w:rsid w:val="00336711"/>
    <w:rsid w:val="003418E8"/>
    <w:rsid w:val="003451F2"/>
    <w:rsid w:val="0034550C"/>
    <w:rsid w:val="00347935"/>
    <w:rsid w:val="00347F28"/>
    <w:rsid w:val="00350DBD"/>
    <w:rsid w:val="00351927"/>
    <w:rsid w:val="00351B07"/>
    <w:rsid w:val="00353E0D"/>
    <w:rsid w:val="003572F3"/>
    <w:rsid w:val="00360A38"/>
    <w:rsid w:val="0036268A"/>
    <w:rsid w:val="00364841"/>
    <w:rsid w:val="00365EB6"/>
    <w:rsid w:val="00370445"/>
    <w:rsid w:val="003710AD"/>
    <w:rsid w:val="00371B29"/>
    <w:rsid w:val="00372182"/>
    <w:rsid w:val="003724E0"/>
    <w:rsid w:val="0037390B"/>
    <w:rsid w:val="0037520F"/>
    <w:rsid w:val="003753A1"/>
    <w:rsid w:val="00377F94"/>
    <w:rsid w:val="00382240"/>
    <w:rsid w:val="00385DAB"/>
    <w:rsid w:val="00386C8D"/>
    <w:rsid w:val="00386CFA"/>
    <w:rsid w:val="00391769"/>
    <w:rsid w:val="003953E1"/>
    <w:rsid w:val="003956B3"/>
    <w:rsid w:val="003A6248"/>
    <w:rsid w:val="003A68BE"/>
    <w:rsid w:val="003A7725"/>
    <w:rsid w:val="003B3C9D"/>
    <w:rsid w:val="003B4D7F"/>
    <w:rsid w:val="003B6727"/>
    <w:rsid w:val="003B6AC7"/>
    <w:rsid w:val="003B78E0"/>
    <w:rsid w:val="003C0212"/>
    <w:rsid w:val="003C04E2"/>
    <w:rsid w:val="003C22CF"/>
    <w:rsid w:val="003C4969"/>
    <w:rsid w:val="003D4132"/>
    <w:rsid w:val="003D7041"/>
    <w:rsid w:val="003D78AF"/>
    <w:rsid w:val="003E41D5"/>
    <w:rsid w:val="003E46BA"/>
    <w:rsid w:val="003E4C63"/>
    <w:rsid w:val="003E4DA8"/>
    <w:rsid w:val="003E7D22"/>
    <w:rsid w:val="003F0920"/>
    <w:rsid w:val="003F23F9"/>
    <w:rsid w:val="003F4F93"/>
    <w:rsid w:val="003F5D41"/>
    <w:rsid w:val="003F6338"/>
    <w:rsid w:val="003F6671"/>
    <w:rsid w:val="003F74C1"/>
    <w:rsid w:val="003F7756"/>
    <w:rsid w:val="00405B1A"/>
    <w:rsid w:val="0040698B"/>
    <w:rsid w:val="00407241"/>
    <w:rsid w:val="0040761E"/>
    <w:rsid w:val="00407DF4"/>
    <w:rsid w:val="00410C76"/>
    <w:rsid w:val="00411907"/>
    <w:rsid w:val="00412830"/>
    <w:rsid w:val="00413CA8"/>
    <w:rsid w:val="00415892"/>
    <w:rsid w:val="004175CC"/>
    <w:rsid w:val="00417EE3"/>
    <w:rsid w:val="004200AE"/>
    <w:rsid w:val="004207EB"/>
    <w:rsid w:val="00425607"/>
    <w:rsid w:val="00425A2F"/>
    <w:rsid w:val="00426FCD"/>
    <w:rsid w:val="00427F23"/>
    <w:rsid w:val="00433D61"/>
    <w:rsid w:val="00434542"/>
    <w:rsid w:val="00434E15"/>
    <w:rsid w:val="00435FA5"/>
    <w:rsid w:val="00436028"/>
    <w:rsid w:val="00436B8D"/>
    <w:rsid w:val="00437276"/>
    <w:rsid w:val="00437A07"/>
    <w:rsid w:val="00442394"/>
    <w:rsid w:val="00447E67"/>
    <w:rsid w:val="004503B5"/>
    <w:rsid w:val="00451D5A"/>
    <w:rsid w:val="0045556F"/>
    <w:rsid w:val="00456B54"/>
    <w:rsid w:val="00457F9A"/>
    <w:rsid w:val="00461126"/>
    <w:rsid w:val="004645C0"/>
    <w:rsid w:val="00464643"/>
    <w:rsid w:val="004646F8"/>
    <w:rsid w:val="00465B04"/>
    <w:rsid w:val="00465DFD"/>
    <w:rsid w:val="004678B8"/>
    <w:rsid w:val="0047032B"/>
    <w:rsid w:val="0047149D"/>
    <w:rsid w:val="0047154D"/>
    <w:rsid w:val="00472CE9"/>
    <w:rsid w:val="00472D0F"/>
    <w:rsid w:val="00482535"/>
    <w:rsid w:val="004837C0"/>
    <w:rsid w:val="00486793"/>
    <w:rsid w:val="004871D8"/>
    <w:rsid w:val="0049107B"/>
    <w:rsid w:val="00491395"/>
    <w:rsid w:val="00491B73"/>
    <w:rsid w:val="0049729B"/>
    <w:rsid w:val="004A2037"/>
    <w:rsid w:val="004A3685"/>
    <w:rsid w:val="004A7F18"/>
    <w:rsid w:val="004B1EFA"/>
    <w:rsid w:val="004B31BF"/>
    <w:rsid w:val="004B3DD0"/>
    <w:rsid w:val="004B5A30"/>
    <w:rsid w:val="004B7115"/>
    <w:rsid w:val="004C16A1"/>
    <w:rsid w:val="004C2CE7"/>
    <w:rsid w:val="004C3941"/>
    <w:rsid w:val="004C7B5E"/>
    <w:rsid w:val="004D11B0"/>
    <w:rsid w:val="004D1A7F"/>
    <w:rsid w:val="004D30A6"/>
    <w:rsid w:val="004D6BBF"/>
    <w:rsid w:val="004E0C6F"/>
    <w:rsid w:val="004E1B47"/>
    <w:rsid w:val="004E3B9B"/>
    <w:rsid w:val="004E6F95"/>
    <w:rsid w:val="004F011D"/>
    <w:rsid w:val="004F05C3"/>
    <w:rsid w:val="004F0D5D"/>
    <w:rsid w:val="004F2494"/>
    <w:rsid w:val="004F4645"/>
    <w:rsid w:val="004F4F98"/>
    <w:rsid w:val="004F69F6"/>
    <w:rsid w:val="004F79AC"/>
    <w:rsid w:val="0050102F"/>
    <w:rsid w:val="005017CF"/>
    <w:rsid w:val="005034A9"/>
    <w:rsid w:val="00504FA1"/>
    <w:rsid w:val="00505878"/>
    <w:rsid w:val="00505A3B"/>
    <w:rsid w:val="005066EF"/>
    <w:rsid w:val="005070C5"/>
    <w:rsid w:val="005102C5"/>
    <w:rsid w:val="00512290"/>
    <w:rsid w:val="005147EB"/>
    <w:rsid w:val="00516A15"/>
    <w:rsid w:val="005207D8"/>
    <w:rsid w:val="00521F70"/>
    <w:rsid w:val="0052236C"/>
    <w:rsid w:val="00523A0F"/>
    <w:rsid w:val="005242D7"/>
    <w:rsid w:val="0052649E"/>
    <w:rsid w:val="00527065"/>
    <w:rsid w:val="00527919"/>
    <w:rsid w:val="00530148"/>
    <w:rsid w:val="0053464E"/>
    <w:rsid w:val="005358B0"/>
    <w:rsid w:val="005427E8"/>
    <w:rsid w:val="00553756"/>
    <w:rsid w:val="00553969"/>
    <w:rsid w:val="00555668"/>
    <w:rsid w:val="00556289"/>
    <w:rsid w:val="00562917"/>
    <w:rsid w:val="0057400D"/>
    <w:rsid w:val="005752CB"/>
    <w:rsid w:val="00576AB1"/>
    <w:rsid w:val="0057722F"/>
    <w:rsid w:val="005843B9"/>
    <w:rsid w:val="00585B45"/>
    <w:rsid w:val="00586228"/>
    <w:rsid w:val="00590BEA"/>
    <w:rsid w:val="0059227F"/>
    <w:rsid w:val="00593CD1"/>
    <w:rsid w:val="0059498B"/>
    <w:rsid w:val="00596B3D"/>
    <w:rsid w:val="005A3A03"/>
    <w:rsid w:val="005A65CB"/>
    <w:rsid w:val="005A687C"/>
    <w:rsid w:val="005A75EA"/>
    <w:rsid w:val="005A7DAF"/>
    <w:rsid w:val="005B01E7"/>
    <w:rsid w:val="005B0E3D"/>
    <w:rsid w:val="005B40E6"/>
    <w:rsid w:val="005B47F8"/>
    <w:rsid w:val="005B5503"/>
    <w:rsid w:val="005B615C"/>
    <w:rsid w:val="005B6AF4"/>
    <w:rsid w:val="005C04CB"/>
    <w:rsid w:val="005C1F46"/>
    <w:rsid w:val="005C45DB"/>
    <w:rsid w:val="005C5AB2"/>
    <w:rsid w:val="005C71BA"/>
    <w:rsid w:val="005D16AD"/>
    <w:rsid w:val="005D2A5D"/>
    <w:rsid w:val="005D3366"/>
    <w:rsid w:val="005D5644"/>
    <w:rsid w:val="005D72E1"/>
    <w:rsid w:val="005E2F53"/>
    <w:rsid w:val="005E398C"/>
    <w:rsid w:val="005E4D69"/>
    <w:rsid w:val="005E5CAC"/>
    <w:rsid w:val="005E69D1"/>
    <w:rsid w:val="005E6E16"/>
    <w:rsid w:val="005F21C9"/>
    <w:rsid w:val="005F2AA2"/>
    <w:rsid w:val="005F400E"/>
    <w:rsid w:val="005F64EB"/>
    <w:rsid w:val="005F7342"/>
    <w:rsid w:val="00603A08"/>
    <w:rsid w:val="00604550"/>
    <w:rsid w:val="00605A03"/>
    <w:rsid w:val="006066BC"/>
    <w:rsid w:val="00606C88"/>
    <w:rsid w:val="006073AC"/>
    <w:rsid w:val="00610A3C"/>
    <w:rsid w:val="00610B4E"/>
    <w:rsid w:val="00611141"/>
    <w:rsid w:val="00611C46"/>
    <w:rsid w:val="00612A2E"/>
    <w:rsid w:val="00612A68"/>
    <w:rsid w:val="00620617"/>
    <w:rsid w:val="006211CD"/>
    <w:rsid w:val="00625932"/>
    <w:rsid w:val="00627F48"/>
    <w:rsid w:val="00630A65"/>
    <w:rsid w:val="0063149C"/>
    <w:rsid w:val="006322EB"/>
    <w:rsid w:val="00633ACA"/>
    <w:rsid w:val="006342E0"/>
    <w:rsid w:val="00640C12"/>
    <w:rsid w:val="006429AA"/>
    <w:rsid w:val="00642A47"/>
    <w:rsid w:val="00642B57"/>
    <w:rsid w:val="00646E9D"/>
    <w:rsid w:val="00646FDD"/>
    <w:rsid w:val="00663FCF"/>
    <w:rsid w:val="006652A2"/>
    <w:rsid w:val="00666FFE"/>
    <w:rsid w:val="0067715C"/>
    <w:rsid w:val="0067780A"/>
    <w:rsid w:val="00681754"/>
    <w:rsid w:val="00681B2A"/>
    <w:rsid w:val="00681D53"/>
    <w:rsid w:val="00683E69"/>
    <w:rsid w:val="00684646"/>
    <w:rsid w:val="00685269"/>
    <w:rsid w:val="0069098B"/>
    <w:rsid w:val="00691B55"/>
    <w:rsid w:val="006937FF"/>
    <w:rsid w:val="00693B47"/>
    <w:rsid w:val="00696324"/>
    <w:rsid w:val="006965BF"/>
    <w:rsid w:val="006A25F6"/>
    <w:rsid w:val="006A48A7"/>
    <w:rsid w:val="006B27AC"/>
    <w:rsid w:val="006B4BA1"/>
    <w:rsid w:val="006B5E21"/>
    <w:rsid w:val="006B6762"/>
    <w:rsid w:val="006C24EC"/>
    <w:rsid w:val="006C28E2"/>
    <w:rsid w:val="006C2BB1"/>
    <w:rsid w:val="006C43F4"/>
    <w:rsid w:val="006C5CF5"/>
    <w:rsid w:val="006C729F"/>
    <w:rsid w:val="006D2F76"/>
    <w:rsid w:val="006D3C11"/>
    <w:rsid w:val="006D465A"/>
    <w:rsid w:val="006D62D2"/>
    <w:rsid w:val="006D76EE"/>
    <w:rsid w:val="006E5170"/>
    <w:rsid w:val="006E527D"/>
    <w:rsid w:val="006E7E57"/>
    <w:rsid w:val="006F17A0"/>
    <w:rsid w:val="006F42A1"/>
    <w:rsid w:val="006F4A82"/>
    <w:rsid w:val="006F71E7"/>
    <w:rsid w:val="00700239"/>
    <w:rsid w:val="0070373B"/>
    <w:rsid w:val="00704E67"/>
    <w:rsid w:val="00707E72"/>
    <w:rsid w:val="00710975"/>
    <w:rsid w:val="007113EB"/>
    <w:rsid w:val="007145D0"/>
    <w:rsid w:val="007158C1"/>
    <w:rsid w:val="007163F5"/>
    <w:rsid w:val="0072150F"/>
    <w:rsid w:val="00722216"/>
    <w:rsid w:val="00722527"/>
    <w:rsid w:val="007238AD"/>
    <w:rsid w:val="00724583"/>
    <w:rsid w:val="00724FA4"/>
    <w:rsid w:val="007257A3"/>
    <w:rsid w:val="00725EB4"/>
    <w:rsid w:val="00726C2F"/>
    <w:rsid w:val="007302EB"/>
    <w:rsid w:val="00730800"/>
    <w:rsid w:val="00732389"/>
    <w:rsid w:val="007330CD"/>
    <w:rsid w:val="00733125"/>
    <w:rsid w:val="007332F7"/>
    <w:rsid w:val="007368AB"/>
    <w:rsid w:val="00736C03"/>
    <w:rsid w:val="00737902"/>
    <w:rsid w:val="00741C28"/>
    <w:rsid w:val="00741EFE"/>
    <w:rsid w:val="00743292"/>
    <w:rsid w:val="00744BA7"/>
    <w:rsid w:val="0074544E"/>
    <w:rsid w:val="007602AA"/>
    <w:rsid w:val="00763F67"/>
    <w:rsid w:val="00763F87"/>
    <w:rsid w:val="00764D33"/>
    <w:rsid w:val="007652EF"/>
    <w:rsid w:val="00765456"/>
    <w:rsid w:val="007705AE"/>
    <w:rsid w:val="00771655"/>
    <w:rsid w:val="00772BDC"/>
    <w:rsid w:val="00773033"/>
    <w:rsid w:val="007743CC"/>
    <w:rsid w:val="0077633F"/>
    <w:rsid w:val="00780792"/>
    <w:rsid w:val="0078080D"/>
    <w:rsid w:val="007833C0"/>
    <w:rsid w:val="00792562"/>
    <w:rsid w:val="00792EBB"/>
    <w:rsid w:val="00796A05"/>
    <w:rsid w:val="007A44B4"/>
    <w:rsid w:val="007A7D3D"/>
    <w:rsid w:val="007B225D"/>
    <w:rsid w:val="007B332A"/>
    <w:rsid w:val="007B4C03"/>
    <w:rsid w:val="007B59A8"/>
    <w:rsid w:val="007C0AC2"/>
    <w:rsid w:val="007C174F"/>
    <w:rsid w:val="007C1C64"/>
    <w:rsid w:val="007C2BF6"/>
    <w:rsid w:val="007C4689"/>
    <w:rsid w:val="007C54DA"/>
    <w:rsid w:val="007D130F"/>
    <w:rsid w:val="007D3347"/>
    <w:rsid w:val="007D40A1"/>
    <w:rsid w:val="007D5E6D"/>
    <w:rsid w:val="007E1868"/>
    <w:rsid w:val="007E48BC"/>
    <w:rsid w:val="007E657B"/>
    <w:rsid w:val="007E7522"/>
    <w:rsid w:val="007E79F7"/>
    <w:rsid w:val="007F2B85"/>
    <w:rsid w:val="007F3630"/>
    <w:rsid w:val="007F3A95"/>
    <w:rsid w:val="007F4E4E"/>
    <w:rsid w:val="007F6CA3"/>
    <w:rsid w:val="008021ED"/>
    <w:rsid w:val="0080377A"/>
    <w:rsid w:val="00807559"/>
    <w:rsid w:val="00813E49"/>
    <w:rsid w:val="00817E67"/>
    <w:rsid w:val="00820535"/>
    <w:rsid w:val="00820AC2"/>
    <w:rsid w:val="008268E9"/>
    <w:rsid w:val="00832601"/>
    <w:rsid w:val="008364E7"/>
    <w:rsid w:val="00840F20"/>
    <w:rsid w:val="00844270"/>
    <w:rsid w:val="008442A8"/>
    <w:rsid w:val="0084480D"/>
    <w:rsid w:val="008449A9"/>
    <w:rsid w:val="008450BC"/>
    <w:rsid w:val="00845A8C"/>
    <w:rsid w:val="008462DE"/>
    <w:rsid w:val="008502BC"/>
    <w:rsid w:val="00851A60"/>
    <w:rsid w:val="0085334B"/>
    <w:rsid w:val="00854E83"/>
    <w:rsid w:val="00856A5B"/>
    <w:rsid w:val="00857108"/>
    <w:rsid w:val="008616D0"/>
    <w:rsid w:val="00867B23"/>
    <w:rsid w:val="0087015B"/>
    <w:rsid w:val="00870214"/>
    <w:rsid w:val="00870781"/>
    <w:rsid w:val="00876515"/>
    <w:rsid w:val="0087728B"/>
    <w:rsid w:val="008828D9"/>
    <w:rsid w:val="00885C51"/>
    <w:rsid w:val="00885EB0"/>
    <w:rsid w:val="00887145"/>
    <w:rsid w:val="008878C9"/>
    <w:rsid w:val="00890DEE"/>
    <w:rsid w:val="0089264A"/>
    <w:rsid w:val="00893829"/>
    <w:rsid w:val="00894AAB"/>
    <w:rsid w:val="00896B85"/>
    <w:rsid w:val="00897554"/>
    <w:rsid w:val="008A22BE"/>
    <w:rsid w:val="008A3221"/>
    <w:rsid w:val="008A3490"/>
    <w:rsid w:val="008A35FB"/>
    <w:rsid w:val="008B0075"/>
    <w:rsid w:val="008B1CE9"/>
    <w:rsid w:val="008B23CA"/>
    <w:rsid w:val="008B5567"/>
    <w:rsid w:val="008C0E7A"/>
    <w:rsid w:val="008C1B36"/>
    <w:rsid w:val="008C616B"/>
    <w:rsid w:val="008D06C6"/>
    <w:rsid w:val="008D410E"/>
    <w:rsid w:val="008D4BEE"/>
    <w:rsid w:val="008E037E"/>
    <w:rsid w:val="008E27EF"/>
    <w:rsid w:val="008E426F"/>
    <w:rsid w:val="008E540B"/>
    <w:rsid w:val="008E5AAD"/>
    <w:rsid w:val="008E6250"/>
    <w:rsid w:val="008E7BE3"/>
    <w:rsid w:val="008F59A7"/>
    <w:rsid w:val="00901EF6"/>
    <w:rsid w:val="00902104"/>
    <w:rsid w:val="00902AF6"/>
    <w:rsid w:val="0090348B"/>
    <w:rsid w:val="0090352B"/>
    <w:rsid w:val="00903ABD"/>
    <w:rsid w:val="00903B92"/>
    <w:rsid w:val="009057FA"/>
    <w:rsid w:val="009060C6"/>
    <w:rsid w:val="009076A6"/>
    <w:rsid w:val="009102C3"/>
    <w:rsid w:val="009110F9"/>
    <w:rsid w:val="00914030"/>
    <w:rsid w:val="00914778"/>
    <w:rsid w:val="00916312"/>
    <w:rsid w:val="009173A3"/>
    <w:rsid w:val="00920249"/>
    <w:rsid w:val="009230E5"/>
    <w:rsid w:val="00923FCB"/>
    <w:rsid w:val="00924C80"/>
    <w:rsid w:val="009269BD"/>
    <w:rsid w:val="009306DF"/>
    <w:rsid w:val="0093231D"/>
    <w:rsid w:val="00932F14"/>
    <w:rsid w:val="0094247F"/>
    <w:rsid w:val="009424E2"/>
    <w:rsid w:val="00942D60"/>
    <w:rsid w:val="009437EC"/>
    <w:rsid w:val="00944BA4"/>
    <w:rsid w:val="00953069"/>
    <w:rsid w:val="0095347E"/>
    <w:rsid w:val="009539C3"/>
    <w:rsid w:val="009558B0"/>
    <w:rsid w:val="009600BE"/>
    <w:rsid w:val="00962D76"/>
    <w:rsid w:val="0096523B"/>
    <w:rsid w:val="00966038"/>
    <w:rsid w:val="00966EE3"/>
    <w:rsid w:val="00972690"/>
    <w:rsid w:val="00972A9D"/>
    <w:rsid w:val="00972D06"/>
    <w:rsid w:val="00974BA2"/>
    <w:rsid w:val="00975837"/>
    <w:rsid w:val="009807C5"/>
    <w:rsid w:val="00983D78"/>
    <w:rsid w:val="00994247"/>
    <w:rsid w:val="0099712F"/>
    <w:rsid w:val="00997812"/>
    <w:rsid w:val="009A24D9"/>
    <w:rsid w:val="009A391C"/>
    <w:rsid w:val="009A50F2"/>
    <w:rsid w:val="009A5BC9"/>
    <w:rsid w:val="009A72C2"/>
    <w:rsid w:val="009B187A"/>
    <w:rsid w:val="009B7CCB"/>
    <w:rsid w:val="009C202F"/>
    <w:rsid w:val="009C4322"/>
    <w:rsid w:val="009C5EBF"/>
    <w:rsid w:val="009C73F0"/>
    <w:rsid w:val="009C7A11"/>
    <w:rsid w:val="009D2BEF"/>
    <w:rsid w:val="009D4E1C"/>
    <w:rsid w:val="009D790B"/>
    <w:rsid w:val="009E0A61"/>
    <w:rsid w:val="009E3010"/>
    <w:rsid w:val="009E3016"/>
    <w:rsid w:val="009E4D50"/>
    <w:rsid w:val="009F007E"/>
    <w:rsid w:val="009F1BCF"/>
    <w:rsid w:val="009F2C59"/>
    <w:rsid w:val="009F3E04"/>
    <w:rsid w:val="009F6556"/>
    <w:rsid w:val="009F7065"/>
    <w:rsid w:val="00A06095"/>
    <w:rsid w:val="00A060C2"/>
    <w:rsid w:val="00A07DB9"/>
    <w:rsid w:val="00A1111C"/>
    <w:rsid w:val="00A12B44"/>
    <w:rsid w:val="00A13660"/>
    <w:rsid w:val="00A1751C"/>
    <w:rsid w:val="00A20946"/>
    <w:rsid w:val="00A2165D"/>
    <w:rsid w:val="00A21BC1"/>
    <w:rsid w:val="00A223DE"/>
    <w:rsid w:val="00A22C0B"/>
    <w:rsid w:val="00A25BEC"/>
    <w:rsid w:val="00A27A6C"/>
    <w:rsid w:val="00A27FEE"/>
    <w:rsid w:val="00A309ED"/>
    <w:rsid w:val="00A30B60"/>
    <w:rsid w:val="00A31CCC"/>
    <w:rsid w:val="00A32756"/>
    <w:rsid w:val="00A34C11"/>
    <w:rsid w:val="00A40193"/>
    <w:rsid w:val="00A40F7B"/>
    <w:rsid w:val="00A41349"/>
    <w:rsid w:val="00A4175D"/>
    <w:rsid w:val="00A4590A"/>
    <w:rsid w:val="00A474B7"/>
    <w:rsid w:val="00A54934"/>
    <w:rsid w:val="00A54F64"/>
    <w:rsid w:val="00A54F9D"/>
    <w:rsid w:val="00A55DA7"/>
    <w:rsid w:val="00A56DC7"/>
    <w:rsid w:val="00A56E34"/>
    <w:rsid w:val="00A60F7F"/>
    <w:rsid w:val="00A61582"/>
    <w:rsid w:val="00A626C7"/>
    <w:rsid w:val="00A64130"/>
    <w:rsid w:val="00A712F2"/>
    <w:rsid w:val="00A74FD1"/>
    <w:rsid w:val="00A75CB6"/>
    <w:rsid w:val="00A77991"/>
    <w:rsid w:val="00A81D64"/>
    <w:rsid w:val="00A81E03"/>
    <w:rsid w:val="00A84A58"/>
    <w:rsid w:val="00A8554C"/>
    <w:rsid w:val="00A8583A"/>
    <w:rsid w:val="00A85F6F"/>
    <w:rsid w:val="00A8782A"/>
    <w:rsid w:val="00A878F4"/>
    <w:rsid w:val="00A91429"/>
    <w:rsid w:val="00A914FF"/>
    <w:rsid w:val="00A91DF1"/>
    <w:rsid w:val="00A92EEF"/>
    <w:rsid w:val="00A935BB"/>
    <w:rsid w:val="00A93C7B"/>
    <w:rsid w:val="00A93E92"/>
    <w:rsid w:val="00AA0022"/>
    <w:rsid w:val="00AA0F6E"/>
    <w:rsid w:val="00AA2464"/>
    <w:rsid w:val="00AA61AA"/>
    <w:rsid w:val="00AB0275"/>
    <w:rsid w:val="00AB0796"/>
    <w:rsid w:val="00AB71A7"/>
    <w:rsid w:val="00AC696F"/>
    <w:rsid w:val="00AC74CB"/>
    <w:rsid w:val="00AD0707"/>
    <w:rsid w:val="00AD22F9"/>
    <w:rsid w:val="00AD2369"/>
    <w:rsid w:val="00AD6DB6"/>
    <w:rsid w:val="00AD7A3D"/>
    <w:rsid w:val="00AE04B9"/>
    <w:rsid w:val="00AE1279"/>
    <w:rsid w:val="00AE28A2"/>
    <w:rsid w:val="00AE4E6E"/>
    <w:rsid w:val="00AE6B91"/>
    <w:rsid w:val="00AE766D"/>
    <w:rsid w:val="00AF06FC"/>
    <w:rsid w:val="00AF2F5C"/>
    <w:rsid w:val="00AF3391"/>
    <w:rsid w:val="00AF387F"/>
    <w:rsid w:val="00AF602C"/>
    <w:rsid w:val="00B001B2"/>
    <w:rsid w:val="00B00E7F"/>
    <w:rsid w:val="00B0243E"/>
    <w:rsid w:val="00B03871"/>
    <w:rsid w:val="00B03FC0"/>
    <w:rsid w:val="00B04135"/>
    <w:rsid w:val="00B04A94"/>
    <w:rsid w:val="00B1044E"/>
    <w:rsid w:val="00B13988"/>
    <w:rsid w:val="00B14B9E"/>
    <w:rsid w:val="00B15D8E"/>
    <w:rsid w:val="00B17058"/>
    <w:rsid w:val="00B173DA"/>
    <w:rsid w:val="00B21DCC"/>
    <w:rsid w:val="00B25022"/>
    <w:rsid w:val="00B25252"/>
    <w:rsid w:val="00B25F37"/>
    <w:rsid w:val="00B401B9"/>
    <w:rsid w:val="00B402AA"/>
    <w:rsid w:val="00B418B0"/>
    <w:rsid w:val="00B41E04"/>
    <w:rsid w:val="00B424FB"/>
    <w:rsid w:val="00B42A1B"/>
    <w:rsid w:val="00B43942"/>
    <w:rsid w:val="00B44422"/>
    <w:rsid w:val="00B4457E"/>
    <w:rsid w:val="00B46EA0"/>
    <w:rsid w:val="00B514E2"/>
    <w:rsid w:val="00B51E03"/>
    <w:rsid w:val="00B52417"/>
    <w:rsid w:val="00B534EC"/>
    <w:rsid w:val="00B55164"/>
    <w:rsid w:val="00B56456"/>
    <w:rsid w:val="00B56F9D"/>
    <w:rsid w:val="00B61C48"/>
    <w:rsid w:val="00B65338"/>
    <w:rsid w:val="00B65710"/>
    <w:rsid w:val="00B662EB"/>
    <w:rsid w:val="00B70518"/>
    <w:rsid w:val="00B719FC"/>
    <w:rsid w:val="00B71F51"/>
    <w:rsid w:val="00B72494"/>
    <w:rsid w:val="00B7256F"/>
    <w:rsid w:val="00B731D3"/>
    <w:rsid w:val="00B745F8"/>
    <w:rsid w:val="00B746BA"/>
    <w:rsid w:val="00B80D9D"/>
    <w:rsid w:val="00B839A3"/>
    <w:rsid w:val="00B853D2"/>
    <w:rsid w:val="00B902BD"/>
    <w:rsid w:val="00B90CB1"/>
    <w:rsid w:val="00B92E7E"/>
    <w:rsid w:val="00B937F3"/>
    <w:rsid w:val="00B9694C"/>
    <w:rsid w:val="00BA1B59"/>
    <w:rsid w:val="00BA24E2"/>
    <w:rsid w:val="00BA2FB7"/>
    <w:rsid w:val="00BA2FD6"/>
    <w:rsid w:val="00BA60C7"/>
    <w:rsid w:val="00BB24AC"/>
    <w:rsid w:val="00BB311C"/>
    <w:rsid w:val="00BB3BD8"/>
    <w:rsid w:val="00BB5930"/>
    <w:rsid w:val="00BC1F7B"/>
    <w:rsid w:val="00BD2A39"/>
    <w:rsid w:val="00BD2E80"/>
    <w:rsid w:val="00BD39B3"/>
    <w:rsid w:val="00BD3B23"/>
    <w:rsid w:val="00BD6DD4"/>
    <w:rsid w:val="00BE11B8"/>
    <w:rsid w:val="00BE1FDB"/>
    <w:rsid w:val="00BE30B0"/>
    <w:rsid w:val="00BE3818"/>
    <w:rsid w:val="00BE43DD"/>
    <w:rsid w:val="00BE6739"/>
    <w:rsid w:val="00BE7E1B"/>
    <w:rsid w:val="00BF1CDB"/>
    <w:rsid w:val="00BF5D52"/>
    <w:rsid w:val="00BF7FF0"/>
    <w:rsid w:val="00C00E77"/>
    <w:rsid w:val="00C06A0F"/>
    <w:rsid w:val="00C102FA"/>
    <w:rsid w:val="00C12153"/>
    <w:rsid w:val="00C12502"/>
    <w:rsid w:val="00C1266C"/>
    <w:rsid w:val="00C14FD2"/>
    <w:rsid w:val="00C16039"/>
    <w:rsid w:val="00C2305E"/>
    <w:rsid w:val="00C26F53"/>
    <w:rsid w:val="00C33555"/>
    <w:rsid w:val="00C36578"/>
    <w:rsid w:val="00C36BEC"/>
    <w:rsid w:val="00C40AA5"/>
    <w:rsid w:val="00C44A4F"/>
    <w:rsid w:val="00C44C6E"/>
    <w:rsid w:val="00C4515B"/>
    <w:rsid w:val="00C46092"/>
    <w:rsid w:val="00C46F70"/>
    <w:rsid w:val="00C476D0"/>
    <w:rsid w:val="00C52025"/>
    <w:rsid w:val="00C521FE"/>
    <w:rsid w:val="00C52C46"/>
    <w:rsid w:val="00C5448D"/>
    <w:rsid w:val="00C54E99"/>
    <w:rsid w:val="00C559F6"/>
    <w:rsid w:val="00C566F2"/>
    <w:rsid w:val="00C56F71"/>
    <w:rsid w:val="00C6354D"/>
    <w:rsid w:val="00C63580"/>
    <w:rsid w:val="00C6544F"/>
    <w:rsid w:val="00C67DDE"/>
    <w:rsid w:val="00C71470"/>
    <w:rsid w:val="00C71E1D"/>
    <w:rsid w:val="00C74C55"/>
    <w:rsid w:val="00C80966"/>
    <w:rsid w:val="00C80A0A"/>
    <w:rsid w:val="00C836E3"/>
    <w:rsid w:val="00C86577"/>
    <w:rsid w:val="00C868E5"/>
    <w:rsid w:val="00C929E3"/>
    <w:rsid w:val="00C92E07"/>
    <w:rsid w:val="00C94942"/>
    <w:rsid w:val="00C94C97"/>
    <w:rsid w:val="00C95A55"/>
    <w:rsid w:val="00C96868"/>
    <w:rsid w:val="00C96A50"/>
    <w:rsid w:val="00CA0416"/>
    <w:rsid w:val="00CA26D0"/>
    <w:rsid w:val="00CA3C65"/>
    <w:rsid w:val="00CA47B3"/>
    <w:rsid w:val="00CA7F35"/>
    <w:rsid w:val="00CB1375"/>
    <w:rsid w:val="00CB5AA8"/>
    <w:rsid w:val="00CB6655"/>
    <w:rsid w:val="00CC0C58"/>
    <w:rsid w:val="00CC36E7"/>
    <w:rsid w:val="00CC560B"/>
    <w:rsid w:val="00CC5612"/>
    <w:rsid w:val="00CC5D01"/>
    <w:rsid w:val="00CC75E2"/>
    <w:rsid w:val="00CD46EB"/>
    <w:rsid w:val="00CD60E0"/>
    <w:rsid w:val="00CD7EBF"/>
    <w:rsid w:val="00CE0AEB"/>
    <w:rsid w:val="00CE25C8"/>
    <w:rsid w:val="00CE35A4"/>
    <w:rsid w:val="00CE441B"/>
    <w:rsid w:val="00CF2F35"/>
    <w:rsid w:val="00CF3303"/>
    <w:rsid w:val="00CF39CC"/>
    <w:rsid w:val="00D01333"/>
    <w:rsid w:val="00D025CC"/>
    <w:rsid w:val="00D04529"/>
    <w:rsid w:val="00D056F1"/>
    <w:rsid w:val="00D05B15"/>
    <w:rsid w:val="00D062E4"/>
    <w:rsid w:val="00D11171"/>
    <w:rsid w:val="00D11562"/>
    <w:rsid w:val="00D13221"/>
    <w:rsid w:val="00D13B46"/>
    <w:rsid w:val="00D13DF3"/>
    <w:rsid w:val="00D14405"/>
    <w:rsid w:val="00D16918"/>
    <w:rsid w:val="00D16FC8"/>
    <w:rsid w:val="00D178D4"/>
    <w:rsid w:val="00D2071E"/>
    <w:rsid w:val="00D209C9"/>
    <w:rsid w:val="00D22F3C"/>
    <w:rsid w:val="00D23DB6"/>
    <w:rsid w:val="00D26814"/>
    <w:rsid w:val="00D26958"/>
    <w:rsid w:val="00D27AED"/>
    <w:rsid w:val="00D3171B"/>
    <w:rsid w:val="00D33F56"/>
    <w:rsid w:val="00D34A47"/>
    <w:rsid w:val="00D35667"/>
    <w:rsid w:val="00D37125"/>
    <w:rsid w:val="00D407DD"/>
    <w:rsid w:val="00D40A92"/>
    <w:rsid w:val="00D43BB5"/>
    <w:rsid w:val="00D43FE6"/>
    <w:rsid w:val="00D46BE3"/>
    <w:rsid w:val="00D47073"/>
    <w:rsid w:val="00D4789D"/>
    <w:rsid w:val="00D51A95"/>
    <w:rsid w:val="00D55028"/>
    <w:rsid w:val="00D60568"/>
    <w:rsid w:val="00D62B81"/>
    <w:rsid w:val="00D63F46"/>
    <w:rsid w:val="00D66AF5"/>
    <w:rsid w:val="00D676CF"/>
    <w:rsid w:val="00D70C7A"/>
    <w:rsid w:val="00D7185F"/>
    <w:rsid w:val="00D729B4"/>
    <w:rsid w:val="00D73931"/>
    <w:rsid w:val="00D76147"/>
    <w:rsid w:val="00D81D38"/>
    <w:rsid w:val="00D83A6D"/>
    <w:rsid w:val="00D8470F"/>
    <w:rsid w:val="00D8471A"/>
    <w:rsid w:val="00D8627B"/>
    <w:rsid w:val="00D8701D"/>
    <w:rsid w:val="00D91982"/>
    <w:rsid w:val="00D91FEE"/>
    <w:rsid w:val="00D952DA"/>
    <w:rsid w:val="00D97983"/>
    <w:rsid w:val="00DA0085"/>
    <w:rsid w:val="00DA10A8"/>
    <w:rsid w:val="00DB09D7"/>
    <w:rsid w:val="00DB1E08"/>
    <w:rsid w:val="00DB2973"/>
    <w:rsid w:val="00DB324A"/>
    <w:rsid w:val="00DB7A08"/>
    <w:rsid w:val="00DC1B56"/>
    <w:rsid w:val="00DC2129"/>
    <w:rsid w:val="00DC3C72"/>
    <w:rsid w:val="00DC4CC2"/>
    <w:rsid w:val="00DC5E99"/>
    <w:rsid w:val="00DC6570"/>
    <w:rsid w:val="00DC769B"/>
    <w:rsid w:val="00DD056D"/>
    <w:rsid w:val="00DD10C5"/>
    <w:rsid w:val="00DD3C5E"/>
    <w:rsid w:val="00DD562B"/>
    <w:rsid w:val="00DD6E25"/>
    <w:rsid w:val="00DE3F78"/>
    <w:rsid w:val="00DE79D9"/>
    <w:rsid w:val="00DF25C3"/>
    <w:rsid w:val="00DF3814"/>
    <w:rsid w:val="00DF629A"/>
    <w:rsid w:val="00DF74FB"/>
    <w:rsid w:val="00E04062"/>
    <w:rsid w:val="00E05B7C"/>
    <w:rsid w:val="00E063C6"/>
    <w:rsid w:val="00E07856"/>
    <w:rsid w:val="00E147A3"/>
    <w:rsid w:val="00E17455"/>
    <w:rsid w:val="00E2003B"/>
    <w:rsid w:val="00E203C2"/>
    <w:rsid w:val="00E21130"/>
    <w:rsid w:val="00E22A81"/>
    <w:rsid w:val="00E24DE8"/>
    <w:rsid w:val="00E2518E"/>
    <w:rsid w:val="00E279D8"/>
    <w:rsid w:val="00E319B1"/>
    <w:rsid w:val="00E321CE"/>
    <w:rsid w:val="00E3286F"/>
    <w:rsid w:val="00E32AF6"/>
    <w:rsid w:val="00E40ED4"/>
    <w:rsid w:val="00E4428A"/>
    <w:rsid w:val="00E44E0D"/>
    <w:rsid w:val="00E520FE"/>
    <w:rsid w:val="00E5492F"/>
    <w:rsid w:val="00E622C6"/>
    <w:rsid w:val="00E62DEF"/>
    <w:rsid w:val="00E647F1"/>
    <w:rsid w:val="00E70263"/>
    <w:rsid w:val="00E70A86"/>
    <w:rsid w:val="00E72650"/>
    <w:rsid w:val="00E75054"/>
    <w:rsid w:val="00E751D6"/>
    <w:rsid w:val="00E753AE"/>
    <w:rsid w:val="00E7612C"/>
    <w:rsid w:val="00E777EC"/>
    <w:rsid w:val="00E80DFF"/>
    <w:rsid w:val="00E80FCD"/>
    <w:rsid w:val="00E81F6E"/>
    <w:rsid w:val="00E94978"/>
    <w:rsid w:val="00E97970"/>
    <w:rsid w:val="00EA1D3E"/>
    <w:rsid w:val="00EA31F6"/>
    <w:rsid w:val="00EA7F2F"/>
    <w:rsid w:val="00EB0654"/>
    <w:rsid w:val="00EB0E9C"/>
    <w:rsid w:val="00EB1D96"/>
    <w:rsid w:val="00EB3270"/>
    <w:rsid w:val="00EC00DE"/>
    <w:rsid w:val="00EC0506"/>
    <w:rsid w:val="00EC0BB7"/>
    <w:rsid w:val="00EC2BDB"/>
    <w:rsid w:val="00EC30E1"/>
    <w:rsid w:val="00EC3857"/>
    <w:rsid w:val="00EC44DB"/>
    <w:rsid w:val="00EC7C27"/>
    <w:rsid w:val="00EC7D9F"/>
    <w:rsid w:val="00ED0125"/>
    <w:rsid w:val="00ED059E"/>
    <w:rsid w:val="00ED0797"/>
    <w:rsid w:val="00ED172A"/>
    <w:rsid w:val="00EE0A23"/>
    <w:rsid w:val="00EE0D90"/>
    <w:rsid w:val="00EE15C8"/>
    <w:rsid w:val="00EE2E41"/>
    <w:rsid w:val="00EE3669"/>
    <w:rsid w:val="00EE385F"/>
    <w:rsid w:val="00EE7229"/>
    <w:rsid w:val="00EE7295"/>
    <w:rsid w:val="00EF62E2"/>
    <w:rsid w:val="00F04247"/>
    <w:rsid w:val="00F0750B"/>
    <w:rsid w:val="00F138D0"/>
    <w:rsid w:val="00F1442D"/>
    <w:rsid w:val="00F145CC"/>
    <w:rsid w:val="00F14BEC"/>
    <w:rsid w:val="00F155CF"/>
    <w:rsid w:val="00F1705F"/>
    <w:rsid w:val="00F178A7"/>
    <w:rsid w:val="00F21073"/>
    <w:rsid w:val="00F21283"/>
    <w:rsid w:val="00F21CA7"/>
    <w:rsid w:val="00F225C5"/>
    <w:rsid w:val="00F2587A"/>
    <w:rsid w:val="00F2720F"/>
    <w:rsid w:val="00F31819"/>
    <w:rsid w:val="00F33BB8"/>
    <w:rsid w:val="00F3490A"/>
    <w:rsid w:val="00F367E7"/>
    <w:rsid w:val="00F3715D"/>
    <w:rsid w:val="00F420C8"/>
    <w:rsid w:val="00F42937"/>
    <w:rsid w:val="00F42A4C"/>
    <w:rsid w:val="00F43E46"/>
    <w:rsid w:val="00F4726E"/>
    <w:rsid w:val="00F5153F"/>
    <w:rsid w:val="00F53B04"/>
    <w:rsid w:val="00F556A4"/>
    <w:rsid w:val="00F56FBB"/>
    <w:rsid w:val="00F604DE"/>
    <w:rsid w:val="00F60FF9"/>
    <w:rsid w:val="00F64653"/>
    <w:rsid w:val="00F677EA"/>
    <w:rsid w:val="00F71058"/>
    <w:rsid w:val="00F7588B"/>
    <w:rsid w:val="00F81B81"/>
    <w:rsid w:val="00F9135D"/>
    <w:rsid w:val="00F943E8"/>
    <w:rsid w:val="00FA4E61"/>
    <w:rsid w:val="00FA58F0"/>
    <w:rsid w:val="00FA6820"/>
    <w:rsid w:val="00FB0342"/>
    <w:rsid w:val="00FB0C92"/>
    <w:rsid w:val="00FB1533"/>
    <w:rsid w:val="00FB26B3"/>
    <w:rsid w:val="00FB56EF"/>
    <w:rsid w:val="00FB67A3"/>
    <w:rsid w:val="00FB7512"/>
    <w:rsid w:val="00FC01F5"/>
    <w:rsid w:val="00FC2804"/>
    <w:rsid w:val="00FC30B8"/>
    <w:rsid w:val="00FD2FBE"/>
    <w:rsid w:val="00FD4CB5"/>
    <w:rsid w:val="00FD694C"/>
    <w:rsid w:val="00FD722B"/>
    <w:rsid w:val="00FD7547"/>
    <w:rsid w:val="00FE12B0"/>
    <w:rsid w:val="00FE328F"/>
    <w:rsid w:val="00FE351B"/>
    <w:rsid w:val="00FE3E26"/>
    <w:rsid w:val="00FE46F6"/>
    <w:rsid w:val="00FE5047"/>
    <w:rsid w:val="00FF1AB2"/>
    <w:rsid w:val="00FF5F5C"/>
    <w:rsid w:val="00FF6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E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qFormat/>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paragraph" w:customStyle="1" w:styleId="Default">
    <w:name w:val="Default"/>
    <w:rsid w:val="008F59A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073AC"/>
    <w:pPr>
      <w:ind w:left="720"/>
      <w:contextualSpacing/>
    </w:pPr>
  </w:style>
  <w:style w:type="character" w:customStyle="1" w:styleId="kbadge2">
    <w:name w:val="kbadge2"/>
    <w:basedOn w:val="DefaultParagraphFont"/>
    <w:rsid w:val="004200AE"/>
    <w:rPr>
      <w:color w:val="333333"/>
    </w:rPr>
  </w:style>
  <w:style w:type="paragraph" w:styleId="BodyText">
    <w:name w:val="Body Text"/>
    <w:basedOn w:val="Normal"/>
    <w:link w:val="BodyTextChar"/>
    <w:rsid w:val="006D76EE"/>
    <w:pPr>
      <w:spacing w:after="120"/>
    </w:pPr>
  </w:style>
  <w:style w:type="character" w:customStyle="1" w:styleId="BodyTextChar">
    <w:name w:val="Body Text Char"/>
    <w:basedOn w:val="DefaultParagraphFont"/>
    <w:link w:val="BodyText"/>
    <w:rsid w:val="006D76EE"/>
    <w:rPr>
      <w:rFonts w:ascii="Arial" w:hAnsi="Arial"/>
      <w:sz w:val="22"/>
      <w:szCs w:val="24"/>
      <w:lang w:eastAsia="en-US" w:bidi="en-US"/>
    </w:rPr>
  </w:style>
  <w:style w:type="character" w:customStyle="1" w:styleId="mixed-citation">
    <w:name w:val="mixed-citation"/>
    <w:basedOn w:val="DefaultParagraphFont"/>
    <w:rsid w:val="00C52C46"/>
  </w:style>
  <w:style w:type="character" w:customStyle="1" w:styleId="ref-journal">
    <w:name w:val="ref-journal"/>
    <w:basedOn w:val="DefaultParagraphFont"/>
    <w:rsid w:val="00C52C46"/>
  </w:style>
  <w:style w:type="character" w:customStyle="1" w:styleId="ref-vol">
    <w:name w:val="ref-vol"/>
    <w:basedOn w:val="DefaultParagraphFont"/>
    <w:rsid w:val="00C52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735132064">
      <w:bodyDiv w:val="1"/>
      <w:marLeft w:val="0"/>
      <w:marRight w:val="0"/>
      <w:marTop w:val="0"/>
      <w:marBottom w:val="0"/>
      <w:divBdr>
        <w:top w:val="none" w:sz="0" w:space="0" w:color="auto"/>
        <w:left w:val="none" w:sz="0" w:space="0" w:color="auto"/>
        <w:bottom w:val="none" w:sz="0" w:space="0" w:color="auto"/>
        <w:right w:val="none" w:sz="0" w:space="0" w:color="auto"/>
      </w:divBdr>
    </w:div>
    <w:div w:id="1229264411">
      <w:bodyDiv w:val="1"/>
      <w:marLeft w:val="0"/>
      <w:marRight w:val="0"/>
      <w:marTop w:val="0"/>
      <w:marBottom w:val="0"/>
      <w:divBdr>
        <w:top w:val="none" w:sz="0" w:space="0" w:color="auto"/>
        <w:left w:val="none" w:sz="0" w:space="0" w:color="auto"/>
        <w:bottom w:val="none" w:sz="0" w:space="0" w:color="auto"/>
        <w:right w:val="none" w:sz="0" w:space="0" w:color="auto"/>
      </w:divBdr>
      <w:divsChild>
        <w:div w:id="116532719">
          <w:marLeft w:val="0"/>
          <w:marRight w:val="0"/>
          <w:marTop w:val="0"/>
          <w:marBottom w:val="0"/>
          <w:divBdr>
            <w:top w:val="none" w:sz="0" w:space="0" w:color="auto"/>
            <w:left w:val="none" w:sz="0" w:space="0" w:color="auto"/>
            <w:bottom w:val="none" w:sz="0" w:space="0" w:color="auto"/>
            <w:right w:val="none" w:sz="0" w:space="0" w:color="auto"/>
          </w:divBdr>
          <w:divsChild>
            <w:div w:id="1986934775">
              <w:marLeft w:val="0"/>
              <w:marRight w:val="0"/>
              <w:marTop w:val="0"/>
              <w:marBottom w:val="0"/>
              <w:divBdr>
                <w:top w:val="none" w:sz="0" w:space="0" w:color="auto"/>
                <w:left w:val="none" w:sz="0" w:space="0" w:color="auto"/>
                <w:bottom w:val="none" w:sz="0" w:space="0" w:color="auto"/>
                <w:right w:val="none" w:sz="0" w:space="0" w:color="auto"/>
              </w:divBdr>
              <w:divsChild>
                <w:div w:id="436023950">
                  <w:marLeft w:val="0"/>
                  <w:marRight w:val="0"/>
                  <w:marTop w:val="0"/>
                  <w:marBottom w:val="0"/>
                  <w:divBdr>
                    <w:top w:val="none" w:sz="0" w:space="0" w:color="auto"/>
                    <w:left w:val="none" w:sz="0" w:space="0" w:color="auto"/>
                    <w:bottom w:val="none" w:sz="0" w:space="0" w:color="auto"/>
                    <w:right w:val="none" w:sz="0" w:space="0" w:color="auto"/>
                  </w:divBdr>
                  <w:divsChild>
                    <w:div w:id="244146056">
                      <w:marLeft w:val="0"/>
                      <w:marRight w:val="0"/>
                      <w:marTop w:val="0"/>
                      <w:marBottom w:val="0"/>
                      <w:divBdr>
                        <w:top w:val="none" w:sz="0" w:space="0" w:color="auto"/>
                        <w:left w:val="none" w:sz="0" w:space="0" w:color="auto"/>
                        <w:bottom w:val="none" w:sz="0" w:space="0" w:color="auto"/>
                        <w:right w:val="none" w:sz="0" w:space="0" w:color="auto"/>
                      </w:divBdr>
                      <w:divsChild>
                        <w:div w:id="841431648">
                          <w:marLeft w:val="0"/>
                          <w:marRight w:val="0"/>
                          <w:marTop w:val="0"/>
                          <w:marBottom w:val="0"/>
                          <w:divBdr>
                            <w:top w:val="none" w:sz="0" w:space="0" w:color="auto"/>
                            <w:left w:val="none" w:sz="0" w:space="0" w:color="auto"/>
                            <w:bottom w:val="none" w:sz="0" w:space="0" w:color="auto"/>
                            <w:right w:val="none" w:sz="0" w:space="0" w:color="auto"/>
                          </w:divBdr>
                          <w:divsChild>
                            <w:div w:id="1550416869">
                              <w:marLeft w:val="0"/>
                              <w:marRight w:val="0"/>
                              <w:marTop w:val="0"/>
                              <w:marBottom w:val="0"/>
                              <w:divBdr>
                                <w:top w:val="none" w:sz="0" w:space="0" w:color="auto"/>
                                <w:left w:val="none" w:sz="0" w:space="0" w:color="auto"/>
                                <w:bottom w:val="none" w:sz="0" w:space="0" w:color="auto"/>
                                <w:right w:val="none" w:sz="0" w:space="0" w:color="auto"/>
                              </w:divBdr>
                              <w:divsChild>
                                <w:div w:id="737676478">
                                  <w:marLeft w:val="0"/>
                                  <w:marRight w:val="0"/>
                                  <w:marTop w:val="0"/>
                                  <w:marBottom w:val="0"/>
                                  <w:divBdr>
                                    <w:top w:val="none" w:sz="0" w:space="0" w:color="auto"/>
                                    <w:left w:val="none" w:sz="0" w:space="0" w:color="auto"/>
                                    <w:bottom w:val="none" w:sz="0" w:space="0" w:color="auto"/>
                                    <w:right w:val="none" w:sz="0" w:space="0" w:color="auto"/>
                                  </w:divBdr>
                                  <w:divsChild>
                                    <w:div w:id="30880119">
                                      <w:marLeft w:val="0"/>
                                      <w:marRight w:val="0"/>
                                      <w:marTop w:val="0"/>
                                      <w:marBottom w:val="0"/>
                                      <w:divBdr>
                                        <w:top w:val="none" w:sz="0" w:space="0" w:color="auto"/>
                                        <w:left w:val="none" w:sz="0" w:space="0" w:color="auto"/>
                                        <w:bottom w:val="none" w:sz="0" w:space="0" w:color="auto"/>
                                        <w:right w:val="none" w:sz="0" w:space="0" w:color="auto"/>
                                      </w:divBdr>
                                      <w:divsChild>
                                        <w:div w:id="1363435170">
                                          <w:marLeft w:val="0"/>
                                          <w:marRight w:val="0"/>
                                          <w:marTop w:val="0"/>
                                          <w:marBottom w:val="0"/>
                                          <w:divBdr>
                                            <w:top w:val="none" w:sz="0" w:space="0" w:color="auto"/>
                                            <w:left w:val="none" w:sz="0" w:space="0" w:color="auto"/>
                                            <w:bottom w:val="none" w:sz="0" w:space="0" w:color="auto"/>
                                            <w:right w:val="none" w:sz="0" w:space="0" w:color="auto"/>
                                          </w:divBdr>
                                          <w:divsChild>
                                            <w:div w:id="1690716544">
                                              <w:marLeft w:val="0"/>
                                              <w:marRight w:val="0"/>
                                              <w:marTop w:val="0"/>
                                              <w:marBottom w:val="0"/>
                                              <w:divBdr>
                                                <w:top w:val="none" w:sz="0" w:space="0" w:color="auto"/>
                                                <w:left w:val="none" w:sz="0" w:space="0" w:color="auto"/>
                                                <w:bottom w:val="none" w:sz="0" w:space="0" w:color="auto"/>
                                                <w:right w:val="none" w:sz="0" w:space="0" w:color="auto"/>
                                              </w:divBdr>
                                              <w:divsChild>
                                                <w:div w:id="871580049">
                                                  <w:marLeft w:val="0"/>
                                                  <w:marRight w:val="0"/>
                                                  <w:marTop w:val="0"/>
                                                  <w:marBottom w:val="0"/>
                                                  <w:divBdr>
                                                    <w:top w:val="none" w:sz="0" w:space="0" w:color="auto"/>
                                                    <w:left w:val="none" w:sz="0" w:space="0" w:color="auto"/>
                                                    <w:bottom w:val="none" w:sz="0" w:space="0" w:color="auto"/>
                                                    <w:right w:val="none" w:sz="0" w:space="0" w:color="auto"/>
                                                  </w:divBdr>
                                                  <w:divsChild>
                                                    <w:div w:id="2044550853">
                                                      <w:marLeft w:val="0"/>
                                                      <w:marRight w:val="0"/>
                                                      <w:marTop w:val="0"/>
                                                      <w:marBottom w:val="0"/>
                                                      <w:divBdr>
                                                        <w:top w:val="none" w:sz="0" w:space="0" w:color="auto"/>
                                                        <w:left w:val="none" w:sz="0" w:space="0" w:color="auto"/>
                                                        <w:bottom w:val="none" w:sz="0" w:space="0" w:color="auto"/>
                                                        <w:right w:val="none" w:sz="0" w:space="0" w:color="auto"/>
                                                      </w:divBdr>
                                                      <w:divsChild>
                                                        <w:div w:id="844173006">
                                                          <w:marLeft w:val="0"/>
                                                          <w:marRight w:val="0"/>
                                                          <w:marTop w:val="0"/>
                                                          <w:marBottom w:val="0"/>
                                                          <w:divBdr>
                                                            <w:top w:val="none" w:sz="0" w:space="0" w:color="auto"/>
                                                            <w:left w:val="none" w:sz="0" w:space="0" w:color="auto"/>
                                                            <w:bottom w:val="none" w:sz="0" w:space="0" w:color="auto"/>
                                                            <w:right w:val="none" w:sz="0" w:space="0" w:color="auto"/>
                                                          </w:divBdr>
                                                          <w:divsChild>
                                                            <w:div w:id="272059023">
                                                              <w:marLeft w:val="0"/>
                                                              <w:marRight w:val="0"/>
                                                              <w:marTop w:val="0"/>
                                                              <w:marBottom w:val="0"/>
                                                              <w:divBdr>
                                                                <w:top w:val="none" w:sz="0" w:space="0" w:color="auto"/>
                                                                <w:left w:val="none" w:sz="0" w:space="0" w:color="auto"/>
                                                                <w:bottom w:val="none" w:sz="0" w:space="0" w:color="auto"/>
                                                                <w:right w:val="none" w:sz="0" w:space="0" w:color="auto"/>
                                                              </w:divBdr>
                                                            </w:div>
                                                            <w:div w:id="18909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7730">
                                                      <w:marLeft w:val="0"/>
                                                      <w:marRight w:val="0"/>
                                                      <w:marTop w:val="0"/>
                                                      <w:marBottom w:val="0"/>
                                                      <w:divBdr>
                                                        <w:top w:val="none" w:sz="0" w:space="0" w:color="auto"/>
                                                        <w:left w:val="none" w:sz="0" w:space="0" w:color="auto"/>
                                                        <w:bottom w:val="none" w:sz="0" w:space="0" w:color="auto"/>
                                                        <w:right w:val="none" w:sz="0" w:space="0" w:color="auto"/>
                                                      </w:divBdr>
                                                      <w:divsChild>
                                                        <w:div w:id="579490449">
                                                          <w:marLeft w:val="0"/>
                                                          <w:marRight w:val="0"/>
                                                          <w:marTop w:val="0"/>
                                                          <w:marBottom w:val="0"/>
                                                          <w:divBdr>
                                                            <w:top w:val="none" w:sz="0" w:space="0" w:color="auto"/>
                                                            <w:left w:val="none" w:sz="0" w:space="0" w:color="auto"/>
                                                            <w:bottom w:val="none" w:sz="0" w:space="0" w:color="auto"/>
                                                            <w:right w:val="none" w:sz="0" w:space="0" w:color="auto"/>
                                                          </w:divBdr>
                                                          <w:divsChild>
                                                            <w:div w:id="1085227087">
                                                              <w:marLeft w:val="0"/>
                                                              <w:marRight w:val="0"/>
                                                              <w:marTop w:val="0"/>
                                                              <w:marBottom w:val="0"/>
                                                              <w:divBdr>
                                                                <w:top w:val="none" w:sz="0" w:space="0" w:color="auto"/>
                                                                <w:left w:val="none" w:sz="0" w:space="0" w:color="auto"/>
                                                                <w:bottom w:val="none" w:sz="0" w:space="0" w:color="auto"/>
                                                                <w:right w:val="none" w:sz="0" w:space="0" w:color="auto"/>
                                                              </w:divBdr>
                                                            </w:div>
                                                            <w:div w:id="1114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2997">
                                                  <w:marLeft w:val="0"/>
                                                  <w:marRight w:val="0"/>
                                                  <w:marTop w:val="0"/>
                                                  <w:marBottom w:val="0"/>
                                                  <w:divBdr>
                                                    <w:top w:val="none" w:sz="0" w:space="0" w:color="auto"/>
                                                    <w:left w:val="none" w:sz="0" w:space="0" w:color="auto"/>
                                                    <w:bottom w:val="none" w:sz="0" w:space="0" w:color="auto"/>
                                                    <w:right w:val="none" w:sz="0" w:space="0" w:color="auto"/>
                                                  </w:divBdr>
                                                  <w:divsChild>
                                                    <w:div w:id="200770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391048">
      <w:bodyDiv w:val="1"/>
      <w:marLeft w:val="0"/>
      <w:marRight w:val="0"/>
      <w:marTop w:val="0"/>
      <w:marBottom w:val="0"/>
      <w:divBdr>
        <w:top w:val="none" w:sz="0" w:space="0" w:color="auto"/>
        <w:left w:val="none" w:sz="0" w:space="0" w:color="auto"/>
        <w:bottom w:val="none" w:sz="0" w:space="0" w:color="auto"/>
        <w:right w:val="none" w:sz="0" w:space="0" w:color="auto"/>
      </w:divBdr>
    </w:div>
    <w:div w:id="1484004899">
      <w:bodyDiv w:val="1"/>
      <w:marLeft w:val="0"/>
      <w:marRight w:val="0"/>
      <w:marTop w:val="0"/>
      <w:marBottom w:val="0"/>
      <w:divBdr>
        <w:top w:val="none" w:sz="0" w:space="0" w:color="auto"/>
        <w:left w:val="none" w:sz="0" w:space="0" w:color="auto"/>
        <w:bottom w:val="none" w:sz="0" w:space="0" w:color="auto"/>
        <w:right w:val="none" w:sz="0" w:space="0" w:color="auto"/>
      </w:divBdr>
    </w:div>
    <w:div w:id="1590847245">
      <w:bodyDiv w:val="1"/>
      <w:marLeft w:val="0"/>
      <w:marRight w:val="0"/>
      <w:marTop w:val="0"/>
      <w:marBottom w:val="0"/>
      <w:divBdr>
        <w:top w:val="none" w:sz="0" w:space="0" w:color="auto"/>
        <w:left w:val="none" w:sz="0" w:space="0" w:color="auto"/>
        <w:bottom w:val="none" w:sz="0" w:space="0" w:color="auto"/>
        <w:right w:val="none" w:sz="0" w:space="0" w:color="auto"/>
      </w:divBdr>
      <w:divsChild>
        <w:div w:id="730269926">
          <w:marLeft w:val="0"/>
          <w:marRight w:val="0"/>
          <w:marTop w:val="0"/>
          <w:marBottom w:val="0"/>
          <w:divBdr>
            <w:top w:val="none" w:sz="0" w:space="0" w:color="auto"/>
            <w:left w:val="none" w:sz="0" w:space="0" w:color="auto"/>
            <w:bottom w:val="none" w:sz="0" w:space="0" w:color="auto"/>
            <w:right w:val="none" w:sz="0" w:space="0" w:color="auto"/>
          </w:divBdr>
          <w:divsChild>
            <w:div w:id="1224566792">
              <w:marLeft w:val="0"/>
              <w:marRight w:val="0"/>
              <w:marTop w:val="225"/>
              <w:marBottom w:val="0"/>
              <w:divBdr>
                <w:top w:val="none" w:sz="0" w:space="0" w:color="auto"/>
                <w:left w:val="none" w:sz="0" w:space="0" w:color="auto"/>
                <w:bottom w:val="none" w:sz="0" w:space="0" w:color="auto"/>
                <w:right w:val="none" w:sz="0" w:space="0" w:color="auto"/>
              </w:divBdr>
              <w:divsChild>
                <w:div w:id="1256937060">
                  <w:marLeft w:val="0"/>
                  <w:marRight w:val="0"/>
                  <w:marTop w:val="0"/>
                  <w:marBottom w:val="0"/>
                  <w:divBdr>
                    <w:top w:val="none" w:sz="0" w:space="0" w:color="auto"/>
                    <w:left w:val="none" w:sz="0" w:space="0" w:color="auto"/>
                    <w:bottom w:val="none" w:sz="0" w:space="0" w:color="auto"/>
                    <w:right w:val="none" w:sz="0" w:space="0" w:color="auto"/>
                  </w:divBdr>
                  <w:divsChild>
                    <w:div w:id="1859543756">
                      <w:marLeft w:val="0"/>
                      <w:marRight w:val="0"/>
                      <w:marTop w:val="0"/>
                      <w:marBottom w:val="750"/>
                      <w:divBdr>
                        <w:top w:val="none" w:sz="0" w:space="0" w:color="auto"/>
                        <w:left w:val="none" w:sz="0" w:space="0" w:color="auto"/>
                        <w:bottom w:val="none" w:sz="0" w:space="0" w:color="auto"/>
                        <w:right w:val="none" w:sz="0" w:space="0" w:color="auto"/>
                      </w:divBdr>
                      <w:divsChild>
                        <w:div w:id="1740978460">
                          <w:marLeft w:val="0"/>
                          <w:marRight w:val="0"/>
                          <w:marTop w:val="0"/>
                          <w:marBottom w:val="150"/>
                          <w:divBdr>
                            <w:top w:val="none" w:sz="0" w:space="0" w:color="auto"/>
                            <w:left w:val="none" w:sz="0" w:space="0" w:color="auto"/>
                            <w:bottom w:val="none" w:sz="0" w:space="0" w:color="auto"/>
                            <w:right w:val="none" w:sz="0" w:space="0" w:color="auto"/>
                          </w:divBdr>
                          <w:divsChild>
                            <w:div w:id="666372794">
                              <w:marLeft w:val="0"/>
                              <w:marRight w:val="0"/>
                              <w:marTop w:val="0"/>
                              <w:marBottom w:val="0"/>
                              <w:divBdr>
                                <w:top w:val="none" w:sz="0" w:space="0" w:color="auto"/>
                                <w:left w:val="none" w:sz="0" w:space="0" w:color="auto"/>
                                <w:bottom w:val="none" w:sz="0" w:space="0" w:color="auto"/>
                                <w:right w:val="none" w:sz="0" w:space="0" w:color="auto"/>
                              </w:divBdr>
                            </w:div>
                            <w:div w:id="167255917">
                              <w:marLeft w:val="0"/>
                              <w:marRight w:val="0"/>
                              <w:marTop w:val="0"/>
                              <w:marBottom w:val="0"/>
                              <w:divBdr>
                                <w:top w:val="none" w:sz="0" w:space="0" w:color="auto"/>
                                <w:left w:val="none" w:sz="0" w:space="0" w:color="auto"/>
                                <w:bottom w:val="none" w:sz="0" w:space="0" w:color="auto"/>
                                <w:right w:val="none" w:sz="0" w:space="0" w:color="auto"/>
                              </w:divBdr>
                            </w:div>
                            <w:div w:id="887761724">
                              <w:marLeft w:val="0"/>
                              <w:marRight w:val="0"/>
                              <w:marTop w:val="300"/>
                              <w:marBottom w:val="300"/>
                              <w:divBdr>
                                <w:top w:val="none" w:sz="0" w:space="0" w:color="auto"/>
                                <w:left w:val="none" w:sz="0" w:space="0" w:color="auto"/>
                                <w:bottom w:val="none" w:sz="0" w:space="0" w:color="auto"/>
                                <w:right w:val="none" w:sz="0" w:space="0" w:color="auto"/>
                              </w:divBdr>
                            </w:div>
                            <w:div w:id="847327084">
                              <w:marLeft w:val="0"/>
                              <w:marRight w:val="0"/>
                              <w:marTop w:val="0"/>
                              <w:marBottom w:val="0"/>
                              <w:divBdr>
                                <w:top w:val="none" w:sz="0" w:space="0" w:color="auto"/>
                                <w:left w:val="none" w:sz="0" w:space="0" w:color="auto"/>
                                <w:bottom w:val="none" w:sz="0" w:space="0" w:color="auto"/>
                                <w:right w:val="none" w:sz="0" w:space="0" w:color="auto"/>
                              </w:divBdr>
                              <w:divsChild>
                                <w:div w:id="1971931880">
                                  <w:marLeft w:val="0"/>
                                  <w:marRight w:val="0"/>
                                  <w:marTop w:val="0"/>
                                  <w:marBottom w:val="0"/>
                                  <w:divBdr>
                                    <w:top w:val="none" w:sz="0" w:space="0" w:color="auto"/>
                                    <w:left w:val="none" w:sz="0" w:space="0" w:color="auto"/>
                                    <w:bottom w:val="none" w:sz="0" w:space="0" w:color="auto"/>
                                    <w:right w:val="none" w:sz="0" w:space="0" w:color="auto"/>
                                  </w:divBdr>
                                  <w:divsChild>
                                    <w:div w:id="5887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265462">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5593863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sa.onlinelibrary.wiley.com/doi/abs/10.2903/sp.efsa.2017.EN-1249" TargetMode="External"/><Relationship Id="rId18" Type="http://schemas.openxmlformats.org/officeDocument/2006/relationships/hyperlink" Target="https://www.foodstandards.gov.au/industry/Pages/Reducing-acrylamide-exposure-in-food.aspx" TargetMode="External"/><Relationship Id="rId26" Type="http://schemas.openxmlformats.org/officeDocument/2006/relationships/hyperlink" Target="http://www.foodstandards.gov.au/code/changes/pages/applicationshandbook.aspx" TargetMode="External"/><Relationship Id="rId39" Type="http://schemas.openxmlformats.org/officeDocument/2006/relationships/customXml" Target="../customXml/item5.xml"/><Relationship Id="rId21" Type="http://schemas.openxmlformats.org/officeDocument/2006/relationships/hyperlink" Target="http://www.foodstandards.gov.au/consumer/gmfood/recombinantdna/Pages/default.aspx" TargetMode="External"/><Relationship Id="rId34"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www.foodstandards.gov.au/code/applications/Pages/A1199.aspx" TargetMode="External"/><Relationship Id="rId17" Type="http://schemas.openxmlformats.org/officeDocument/2006/relationships/hyperlink" Target="https://www.foodstandards.gov.au/consumer/chemicals/acrylamide/Pages/default.aspx" TargetMode="External"/><Relationship Id="rId25" Type="http://schemas.openxmlformats.org/officeDocument/2006/relationships/hyperlink" Target="https://www.foodstandards.gov.au/consumer/gmfood/cry1ab/pages/default.aspx" TargetMode="External"/><Relationship Id="rId33" Type="http://schemas.openxmlformats.org/officeDocument/2006/relationships/hyperlink" Target="https://apps.who.int/iris/handle/10665/204410" TargetMode="External"/><Relationship Id="rId38"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s://admin-www.foodstandards.gov.au/consumer/gmfood/Pages/roleofanimalfeedings3717.aspx" TargetMode="External"/><Relationship Id="rId20" Type="http://schemas.openxmlformats.org/officeDocument/2006/relationships/hyperlink" Target="https://www.foodstandards.gov.au/code/changes/pages/applicationshandbook.aspx" TargetMode="External"/><Relationship Id="rId29" Type="http://schemas.openxmlformats.org/officeDocument/2006/relationships/hyperlink" Target="https://foodb.ca/compounds/FDB0218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oodstandards.gov.au/code/applications/Pages/A1199.aspx" TargetMode="External"/><Relationship Id="rId24" Type="http://schemas.openxmlformats.org/officeDocument/2006/relationships/hyperlink" Target="https://www.foodstandards.gov.au/consumer/gmfood/gmoverview/Pages/default.aspx" TargetMode="External"/><Relationship Id="rId32" Type="http://schemas.openxmlformats.org/officeDocument/2006/relationships/hyperlink" Target="https://www.foodstandards.gov.au/consumer/gmfood/Documents/NBT%20Final%20report.pdf" TargetMode="Externa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foodstandards.gov.au/consumer/gmfood/adverse/Pages/default.aspx" TargetMode="External"/><Relationship Id="rId23" Type="http://schemas.openxmlformats.org/officeDocument/2006/relationships/hyperlink" Target="http://www.foodstandards.gov.au/consumer/gmfood/adverse/Pages/default.aspx" TargetMode="External"/><Relationship Id="rId28" Type="http://schemas.openxmlformats.org/officeDocument/2006/relationships/hyperlink" Target="http://www.fao.org/3/a1554e/a1554e00.htm" TargetMode="External"/><Relationship Id="rId36" Type="http://schemas.openxmlformats.org/officeDocument/2006/relationships/theme" Target="theme/theme1.xml"/><Relationship Id="rId10" Type="http://schemas.openxmlformats.org/officeDocument/2006/relationships/hyperlink" Target="https://www.foodstandards.gov.au/code/applications/Pages/A1199.aspx" TargetMode="External"/><Relationship Id="rId19" Type="http://schemas.openxmlformats.org/officeDocument/2006/relationships/hyperlink" Target="https://www.foodstandards.gov.au/code/applications/Pages/A1199.aspx" TargetMode="External"/><Relationship Id="rId31" Type="http://schemas.openxmlformats.org/officeDocument/2006/relationships/hyperlink" Target="https://www.foodstandards.gov.au/code/applications/Pages/A1139.asp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foodstandards.gov.au/consumer/gmfood/labelling/Pages/default.aspx" TargetMode="External"/><Relationship Id="rId22" Type="http://schemas.openxmlformats.org/officeDocument/2006/relationships/hyperlink" Target="https://www.foodstandards.gov.au/code/applications/Pages/A1199.aspx" TargetMode="External"/><Relationship Id="rId27" Type="http://schemas.openxmlformats.org/officeDocument/2006/relationships/hyperlink" Target="http://www.fao.org/3/a1554e/a1554e00.htm" TargetMode="External"/><Relationship Id="rId30" Type="http://schemas.openxmlformats.org/officeDocument/2006/relationships/hyperlink" Target="http://www.foodstandards.gov.au/consumer/gmfood/Pages/Response-to-Heinemann-et-al-on-the-regulation-of-GM-crops-and-foods-developed-using-gene-silencing.aspx"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www.foodstandards.gov.au/consumer/chemicals/acrylamide/Pages/default.aspx" TargetMode="External"/><Relationship Id="rId13" Type="http://schemas.openxmlformats.org/officeDocument/2006/relationships/hyperlink" Target="https://www.foodstandards.gov.au/code/applications/Pages/A1199.aspx" TargetMode="External"/><Relationship Id="rId18" Type="http://schemas.openxmlformats.org/officeDocument/2006/relationships/hyperlink" Target="http://www.foodstandards.gov.au/code/changes/pages/applicationshandbook.aspx" TargetMode="External"/><Relationship Id="rId3" Type="http://schemas.openxmlformats.org/officeDocument/2006/relationships/hyperlink" Target="https://www.foodstandards.gov.au/code/applications/Pages/A1199.aspx" TargetMode="External"/><Relationship Id="rId7" Type="http://schemas.openxmlformats.org/officeDocument/2006/relationships/hyperlink" Target="https://www.foodstandards.gov.au/consumer/gmfood/Pages/roleofanimalfeedings3717.aspx" TargetMode="External"/><Relationship Id="rId12" Type="http://schemas.openxmlformats.org/officeDocument/2006/relationships/hyperlink" Target="http://www.foodstandards.gov.au/consumer/gmfood/recombinantdna/Pages/default.aspx" TargetMode="External"/><Relationship Id="rId17" Type="http://schemas.openxmlformats.org/officeDocument/2006/relationships/hyperlink" Target="https://www.foodstandards.gov.au/consumer/chemicals/acrylamide/Pages/default.aspx" TargetMode="External"/><Relationship Id="rId2" Type="http://schemas.openxmlformats.org/officeDocument/2006/relationships/hyperlink" Target="https://www.foodstandards.gov.au/code/changes/pages/applicationshandbook.aspx" TargetMode="External"/><Relationship Id="rId16" Type="http://schemas.openxmlformats.org/officeDocument/2006/relationships/hyperlink" Target="https://www.foodstandards.gov.au/consumer/gmfood/cry1ab/pages/default.aspx" TargetMode="External"/><Relationship Id="rId1" Type="http://schemas.openxmlformats.org/officeDocument/2006/relationships/hyperlink" Target="https://www.foodstandards.gov.au/code/applications/Pages/A1199.aspx" TargetMode="External"/><Relationship Id="rId6" Type="http://schemas.openxmlformats.org/officeDocument/2006/relationships/hyperlink" Target="https://www.foodstandards.gov.au/consumer/gmfood/adverse/Pages/default.aspx" TargetMode="External"/><Relationship Id="rId11" Type="http://schemas.openxmlformats.org/officeDocument/2006/relationships/hyperlink" Target="https://www.foodstandards.gov.au/code/changes/pages/applicationshandbook.aspx" TargetMode="External"/><Relationship Id="rId5" Type="http://schemas.openxmlformats.org/officeDocument/2006/relationships/hyperlink" Target="https://www.foodstandards.gov.au/consumer/gmfood/labelling/Pages/default.aspx" TargetMode="External"/><Relationship Id="rId15" Type="http://schemas.openxmlformats.org/officeDocument/2006/relationships/hyperlink" Target="https://www.foodstandards.gov.au/consumer/gmfood/gmoverview/Pages/default.aspx" TargetMode="External"/><Relationship Id="rId10" Type="http://schemas.openxmlformats.org/officeDocument/2006/relationships/hyperlink" Target="https://www.foodstandards.gov.au/code/applications/Pages/A1199.aspx" TargetMode="External"/><Relationship Id="rId4" Type="http://schemas.openxmlformats.org/officeDocument/2006/relationships/hyperlink" Target="https://efsa.onlinelibrary.wiley.com/doi/abs/10.2903/sp.efsa.2017.EN-1249" TargetMode="External"/><Relationship Id="rId9" Type="http://schemas.openxmlformats.org/officeDocument/2006/relationships/hyperlink" Target="https://www.foodstandards.gov.au/industry/Pages/Reducing-acrylamide-exposure-in-food.aspx" TargetMode="External"/><Relationship Id="rId14" Type="http://schemas.openxmlformats.org/officeDocument/2006/relationships/hyperlink" Target="http://www.foodstandards.gov.au/consumer/gmfood/adverse/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6560BF-72BB-4DF3-BC53-C0143F8060BC}"/>
</file>

<file path=customXml/itemProps2.xml><?xml version="1.0" encoding="utf-8"?>
<ds:datastoreItem xmlns:ds="http://schemas.openxmlformats.org/officeDocument/2006/customXml" ds:itemID="{40045D0C-DF39-44F5-8C64-1F709AF895D7}"/>
</file>

<file path=customXml/itemProps3.xml><?xml version="1.0" encoding="utf-8"?>
<ds:datastoreItem xmlns:ds="http://schemas.openxmlformats.org/officeDocument/2006/customXml" ds:itemID="{F651C263-1807-4467-AF10-19562AA69D28}"/>
</file>

<file path=customXml/itemProps4.xml><?xml version="1.0" encoding="utf-8"?>
<ds:datastoreItem xmlns:ds="http://schemas.openxmlformats.org/officeDocument/2006/customXml" ds:itemID="{2A8FE2BF-6DF0-402D-A099-7548A6B95819}"/>
</file>

<file path=customXml/itemProps5.xml><?xml version="1.0" encoding="utf-8"?>
<ds:datastoreItem xmlns:ds="http://schemas.openxmlformats.org/officeDocument/2006/customXml" ds:itemID="{9682631B-C1B9-4E69-8B14-5299076885B8}"/>
</file>

<file path=docProps/app.xml><?xml version="1.0" encoding="utf-8"?>
<Properties xmlns="http://schemas.openxmlformats.org/officeDocument/2006/extended-properties" xmlns:vt="http://schemas.openxmlformats.org/officeDocument/2006/docPropsVTypes">
  <Template>Normal</Template>
  <TotalTime>0</TotalTime>
  <Pages>26</Pages>
  <Words>9954</Words>
  <Characters>56741</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2020-09-23T23:09:00Z</dcterms:created>
  <dcterms:modified xsi:type="dcterms:W3CDTF">2020-09-24T22:11:00Z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512813db-6404-472f-8d4c-c294fc2e5221</vt:lpwstr>
  </property>
  <property fmtid="{D5CDD505-2E9C-101B-9397-08002B2CF9AE}" pid="3"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4" name="bjDocumentLabelXML-0">
    <vt:lpwstr>ames.com/2008/01/sie/internal/label"&gt;&lt;element uid="66ddac19-06c4-4e63-b4dd-d8240d87a23f" value="" /&gt;&lt;/sisl&gt;</vt:lpwstr>
  </property>
  <property fmtid="{D5CDD505-2E9C-101B-9397-08002B2CF9AE}" pid="5" name="bjDocumentSecurityLabel">
    <vt:lpwstr>NO SECURITY CLASSIFICATION REQUIRED</vt:lpwstr>
  </property>
  <property fmtid="{D5CDD505-2E9C-101B-9397-08002B2CF9AE}" pid="6" name="bjSaver">
    <vt:lpwstr>CHMwBx+qyUKWIlrVihdWG0GEK68prPyl</vt:lpwstr>
  </property>
  <property fmtid="{D5CDD505-2E9C-101B-9397-08002B2CF9AE}" pid="7" name="ContentTypeId">
    <vt:lpwstr>0x010100CB2FFA9FD6109347A9495CD5860AFAE6</vt:lpwstr>
  </property>
</Properties>
</file>